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59" w:rsidRDefault="00722F59" w:rsidP="00722F59">
      <w:pPr>
        <w:keepLines/>
        <w:shd w:val="clear" w:color="auto" w:fill="FFFFFF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СЕКЦІЙНЕ ДОСЛІДЖЕННЯ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Обсяг медичних послуг, який надавач зобов’язується надавати за договором (специфікація)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22F59" w:rsidRDefault="00722F59" w:rsidP="00722F59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  Проведення патологоанатомічних розтинів тіл померлих, мертвонароджених та плодів від пізніх викиднів (без ознак насильницької смерті, та без підозри на насильницьку смерть) у закладах охорони здоров’я (ЗОЗ) методом посмертного патологоанатомічного дослідження внутрішніх органів і тканин померлого.</w:t>
      </w:r>
    </w:p>
    <w:p w:rsidR="00722F59" w:rsidRDefault="00722F59" w:rsidP="00722F59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Організація проведення дослідження секційного матеріалу (</w:t>
      </w:r>
      <w:proofErr w:type="spellStart"/>
      <w:r>
        <w:rPr>
          <w:rFonts w:ascii="Times New Roman" w:hAnsi="Times New Roman"/>
          <w:sz w:val="24"/>
          <w:szCs w:val="24"/>
        </w:rPr>
        <w:t>аутопсійний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матеріал), взятого під час розтину з обов’язковим проведенням гістологічного дослідження.</w:t>
      </w:r>
    </w:p>
    <w:p w:rsidR="00722F59" w:rsidRDefault="00722F59" w:rsidP="00722F59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  Дотримання належного ставлення тіла померлого, збереження його анатомічної форми та забезпечення конфіденційності інформації про померлого.</w:t>
      </w:r>
    </w:p>
    <w:p w:rsidR="00722F59" w:rsidRDefault="00722F59" w:rsidP="00722F59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Встановлення </w:t>
      </w:r>
      <w:proofErr w:type="spellStart"/>
      <w:r>
        <w:rPr>
          <w:rFonts w:ascii="Times New Roman" w:hAnsi="Times New Roman"/>
          <w:sz w:val="24"/>
          <w:szCs w:val="24"/>
        </w:rPr>
        <w:t>паталогоанатомічного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діагнозу та складанням клініко-патологоанатомічного епікризу з виділенням безпосередньої причини та механізмів смерті, порівнянням заключного клінічного та патологоанатомічного діагнозів за результатами розтину, </w:t>
      </w:r>
      <w:proofErr w:type="spellStart"/>
      <w:r>
        <w:rPr>
          <w:rFonts w:ascii="Times New Roman" w:hAnsi="Times New Roman"/>
          <w:sz w:val="24"/>
          <w:szCs w:val="24"/>
        </w:rPr>
        <w:t>патологогістологічного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і іншого дослідження секційного матеріалу.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5.      Забезпечення доставки тіла померлого до місця проведення розтину замовником.</w:t>
      </w:r>
      <w:bookmarkStart w:id="0" w:name="_heading=h.adm7oa9ue0g"/>
      <w:bookmarkEnd w:id="0"/>
    </w:p>
    <w:p w:rsidR="00722F59" w:rsidRDefault="00722F59" w:rsidP="00722F59">
      <w:pPr>
        <w:pStyle w:val="1"/>
        <w:shd w:val="clear" w:color="auto" w:fill="FFFFFF"/>
        <w:spacing w:before="240"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1" w:name="_heading=h.bm699oc9ky5v"/>
      <w:bookmarkEnd w:id="1"/>
      <w:r>
        <w:rPr>
          <w:rFonts w:ascii="Times New Roman" w:hAnsi="Times New Roman"/>
          <w:b/>
          <w:color w:val="auto"/>
          <w:sz w:val="24"/>
          <w:szCs w:val="24"/>
        </w:rPr>
        <w:t>СЕКЦІЙНЕ ДОСЛІДЖЕННЯ</w:t>
      </w:r>
      <w:bookmarkStart w:id="2" w:name="_heading=h.93ecc24pnihj"/>
      <w:bookmarkEnd w:id="2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Умови закупівлі медичних послуг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Умови надання послуги: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 випадках смерті у ЗОЗ – направлення закладу на розтин та форми первинної облікової документації: N003/о «Медична карта стаціонарного хворого N __» (із зазначеним заключним клінічним діагнозом, клінічним епікризом, письмової вказівки посадової особи ЗОЗ про направлення на розтин та оригінали матеріалів проведених досліджень) або N 096/о «Історія вагітності та пологів N __»;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 випадках смерті за місцем проживання – форми первинної облікової документації N 025/о «Медична карта амбулаторного хворого N __» або N 027/о "Виписка із медичної карти амбулаторного (стаціонарного) хворого" а також копії висновку щодо ненасильницької смерті людини за місцем проживання за формою, яка наведена у додатку до Порядку взаємодії між органами та підрозділами Національної поліції, закладами охорони здоров'я та органами прокуратури України при встановленні факту смерті людини. У патологоанатомічне відділення ЗОЗ (бюро, центр) може бути подана інша первинна медична документація за формами первинної облікової документації, затвердженими наказом Міністерства охорони здоров'я України від 14 лютого 2012 року N 110, зареєстрованими в Міністерстві юстиції України 28 квітня 2012 року за N 661/20974, яка стосується випадку смерті.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Підстави надання послуги:</w:t>
      </w:r>
      <w:r>
        <w:rPr>
          <w:rFonts w:ascii="Times New Roman" w:hAnsi="Times New Roman"/>
          <w:sz w:val="24"/>
          <w:szCs w:val="24"/>
        </w:rPr>
        <w:t xml:space="preserve"> біологічна смерть у ЗОЗ або за місцем проживання.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Вимоги до організації надання послуги:</w:t>
      </w:r>
    </w:p>
    <w:p w:rsidR="00722F59" w:rsidRDefault="00722F59" w:rsidP="00722F59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  Наявність секційного залу (приміщення) патологоанатомічного відділення ЗОЗ (бюро, центру) з оснащеним місцем проведення патологоанатомічного розтину, відповідно до галузевих стандартів у сфері охорони здоров’я.</w:t>
      </w:r>
    </w:p>
    <w:p w:rsidR="00722F59" w:rsidRDefault="00722F59" w:rsidP="00722F59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    Наявність умов зберігання тіл у патологоанатомічних відділеннях ЗОЗ (бюро, центрі) за умов, що запобігають гниттю, впродовж не менше ніж 3 доби.</w:t>
      </w:r>
    </w:p>
    <w:p w:rsidR="00722F59" w:rsidRDefault="00722F59" w:rsidP="00722F59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  Організація проведення дослідження секційного матеріалу (</w:t>
      </w:r>
      <w:proofErr w:type="spellStart"/>
      <w:r>
        <w:rPr>
          <w:rFonts w:ascii="Times New Roman" w:hAnsi="Times New Roman"/>
          <w:sz w:val="24"/>
          <w:szCs w:val="24"/>
        </w:rPr>
        <w:t>аутопсійний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матеріал), взятого під час розтину для проведення </w:t>
      </w:r>
      <w:proofErr w:type="spellStart"/>
      <w:r>
        <w:rPr>
          <w:rFonts w:ascii="Times New Roman" w:hAnsi="Times New Roman"/>
          <w:sz w:val="24"/>
          <w:szCs w:val="24"/>
        </w:rPr>
        <w:t>патологогістологічного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та інших досліджень.</w:t>
      </w:r>
    </w:p>
    <w:p w:rsidR="00722F59" w:rsidRDefault="00722F59" w:rsidP="00722F59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   Забезпечення працівників засобами індивідуального захисту відповідно до чинних нормативно-правових актів.</w:t>
      </w:r>
    </w:p>
    <w:p w:rsidR="00722F59" w:rsidRDefault="00722F59" w:rsidP="00722F59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  Проведення посмертної діагностики </w:t>
      </w:r>
      <w:proofErr w:type="spellStart"/>
      <w:r>
        <w:rPr>
          <w:rFonts w:ascii="Times New Roman" w:hAnsi="Times New Roman"/>
          <w:sz w:val="24"/>
          <w:szCs w:val="24"/>
        </w:rPr>
        <w:t>хвороб</w:t>
      </w:r>
      <w:proofErr w:type="spellEnd"/>
      <w:r>
        <w:rPr>
          <w:rFonts w:ascii="Times New Roman" w:hAnsi="Times New Roman"/>
          <w:sz w:val="24"/>
          <w:szCs w:val="24"/>
        </w:rPr>
        <w:t xml:space="preserve"> і патологічних процесів, встановлення причин та механізмів смерті та проведення порівняння заключного клінічного та патологоанатомічного діагнозів за результатами розтину.</w:t>
      </w:r>
    </w:p>
    <w:p w:rsidR="00722F59" w:rsidRDefault="00722F59" w:rsidP="00722F59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  Наявність затвердженого керівництвом закладу часу роботи закладу, виконання патологоанатомічних розтинів тіл померлих та досліджень операційного і </w:t>
      </w:r>
      <w:proofErr w:type="spellStart"/>
      <w:r>
        <w:rPr>
          <w:rFonts w:ascii="Times New Roman" w:hAnsi="Times New Roman"/>
          <w:sz w:val="24"/>
          <w:szCs w:val="24"/>
        </w:rPr>
        <w:t>біопсійного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матеріалів, порядок видачі лікарських </w:t>
      </w:r>
      <w:proofErr w:type="spellStart"/>
      <w:r>
        <w:rPr>
          <w:rFonts w:ascii="Times New Roman" w:hAnsi="Times New Roman"/>
          <w:sz w:val="24"/>
          <w:szCs w:val="24"/>
        </w:rPr>
        <w:t>свідоцтв</w:t>
      </w:r>
      <w:proofErr w:type="spellEnd"/>
      <w:r>
        <w:rPr>
          <w:rFonts w:ascii="Times New Roman" w:hAnsi="Times New Roman"/>
          <w:sz w:val="24"/>
          <w:szCs w:val="24"/>
        </w:rPr>
        <w:t xml:space="preserve"> про смерть та тіл померлих, повідомлення результатів дослідження.</w:t>
      </w:r>
    </w:p>
    <w:p w:rsidR="00722F59" w:rsidRDefault="00722F59" w:rsidP="00722F59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    Організація управління відходами, які утворилися під час розтину, відповідно до Державних санітарно-протиепідемічних правил і норм щодо поводження з медичними відходами.</w:t>
      </w:r>
    </w:p>
    <w:p w:rsidR="00722F59" w:rsidRDefault="00722F59" w:rsidP="00722F59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  Забезпечення дотримання належного ставлення до тіла померлого та збереження його анатомічної форми.</w:t>
      </w:r>
    </w:p>
    <w:p w:rsidR="00722F59" w:rsidRDefault="00722F59" w:rsidP="00722F59">
      <w:pPr>
        <w:keepLines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  Збір та обробка персональних даних здійснюються відповідно до вимог Закону України «Про захист персональних даних». 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Вимоги до спеціалістів та кількості фахівців, які працюють на посадах: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 місцем надання медичних послуг: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      Лікар-патологоанатом або лікар-патологоанатом дитячий 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щонайменше одна особа, яка працює за основним місцем роботи у цьому ЗОЗ.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     Лаборант – щонайменше одна особа, яка працює за основним місцем роботи у цьому ЗОЗ.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      Молодша медична сестра (молодший медичний брат) 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щонайменше одна особа, яка працює за основним місцем роботи у цьому ЗОЗ.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Вимоги до переліку обладнання: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За місцем надання медичних послуг: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      холодильна камера;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     апарат для гістологічної обробки (проводки) тканин або </w:t>
      </w:r>
      <w:proofErr w:type="spellStart"/>
      <w:r>
        <w:rPr>
          <w:rFonts w:ascii="Times New Roman" w:hAnsi="Times New Roman"/>
          <w:sz w:val="24"/>
          <w:szCs w:val="24"/>
        </w:rPr>
        <w:t>гістопроцесор</w:t>
      </w:r>
      <w:proofErr w:type="spellEnd"/>
      <w:r>
        <w:rPr>
          <w:rFonts w:ascii="Times New Roman" w:hAnsi="Times New Roman"/>
          <w:sz w:val="24"/>
          <w:szCs w:val="24"/>
        </w:rPr>
        <w:t xml:space="preserve"> карусельного чи інших типів, або обладнане термостатом (не менше двох на кожне відділення або лабораторію) робоче місце лаборанта-гістолога;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      мікроскоп лабораторний  бінокулярний з освітлювачем і набором об'єктивів від х2-4 до х100;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     мікротом.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ind w:firstLine="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Інші вимоги: 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Наявність ліцензії на провадження господарської діяльності з медичної практики за спеціальністю - патологічна анатомія </w:t>
      </w:r>
      <w:r>
        <w:rPr>
          <w:rFonts w:ascii="Times New Roman" w:hAnsi="Times New Roman"/>
          <w:b/>
          <w:sz w:val="24"/>
          <w:szCs w:val="24"/>
        </w:rPr>
        <w:t>та/або дитяча патологічна анатомія.</w:t>
      </w:r>
    </w:p>
    <w:p w:rsidR="00722F59" w:rsidRDefault="00722F59" w:rsidP="00722F59">
      <w:pPr>
        <w:keepLines/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94EFD" w:rsidRDefault="00A94EFD">
      <w:bookmarkStart w:id="3" w:name="_GoBack"/>
      <w:bookmarkEnd w:id="3"/>
    </w:p>
    <w:sectPr w:rsidR="00A94E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59"/>
    <w:rsid w:val="00722F59"/>
    <w:rsid w:val="00A9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8CCB2-B510-489E-AAC2-825E5E06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F59"/>
    <w:rPr>
      <w:rFonts w:ascii="Aptos" w:eastAsia="Times New Roman" w:hAnsi="Aptos" w:cs="Times New Roman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22F59"/>
    <w:pPr>
      <w:keepNext/>
      <w:keepLines/>
      <w:spacing w:before="360" w:after="80"/>
      <w:outlineLvl w:val="0"/>
    </w:pPr>
    <w:rPr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F59"/>
    <w:rPr>
      <w:rFonts w:ascii="Aptos" w:eastAsia="Times New Roman" w:hAnsi="Aptos" w:cs="Times New Roman"/>
      <w:color w:val="2F5496" w:themeColor="accent1" w:themeShade="BF"/>
      <w:sz w:val="40"/>
      <w:szCs w:val="4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3309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NHSU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Омельченко</dc:creator>
  <cp:keywords/>
  <dc:description/>
  <cp:lastModifiedBy>Богдан Омельченко</cp:lastModifiedBy>
  <cp:revision>1</cp:revision>
  <dcterms:created xsi:type="dcterms:W3CDTF">2024-05-21T09:08:00Z</dcterms:created>
  <dcterms:modified xsi:type="dcterms:W3CDTF">2024-05-21T09:08:00Z</dcterms:modified>
</cp:coreProperties>
</file>