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A05" w:rsidRDefault="00E93A05" w:rsidP="00E93A05">
      <w:pPr>
        <w:pStyle w:val="2"/>
        <w:shd w:val="clear" w:color="auto" w:fill="FFFFFF"/>
        <w:spacing w:after="0" w:line="240" w:lineRule="auto"/>
        <w:jc w:val="center"/>
      </w:pPr>
      <w:r>
        <w:rPr>
          <w:rFonts w:ascii="Times New Roman" w:hAnsi="Times New Roman"/>
          <w:sz w:val="24"/>
          <w:szCs w:val="24"/>
        </w:rPr>
        <w:t>ПСИХІАТРИЧНА ДОПОМОГА ДОРОСЛИМ ТА ДІТЯМ У СТАЦІОНАРНИХ УМОВАХ</w:t>
      </w:r>
      <w:r>
        <w:t xml:space="preserve">  </w:t>
      </w:r>
    </w:p>
    <w:p w:rsidR="00E93A05" w:rsidRDefault="00E93A05" w:rsidP="00E93A05">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E93A05" w:rsidRDefault="00E93A05" w:rsidP="00E93A05">
      <w:pPr>
        <w:shd w:val="clear" w:color="auto" w:fill="FFFFFF"/>
        <w:spacing w:after="0" w:line="240" w:lineRule="auto"/>
        <w:jc w:val="both"/>
        <w:rPr>
          <w:rFonts w:ascii="Times New Roman" w:hAnsi="Times New Roman"/>
          <w:sz w:val="24"/>
          <w:szCs w:val="24"/>
        </w:rPr>
      </w:pPr>
    </w:p>
    <w:p w:rsidR="00E93A05" w:rsidRDefault="00E93A05" w:rsidP="00E93A05">
      <w:pPr>
        <w:pStyle w:val="a3"/>
        <w:numPr>
          <w:ilvl w:val="0"/>
          <w:numId w:val="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Проведення психіатричного огляду пацієнта/пацієнтки з визначенням потреби у госпіталізації  та формування  у співпраці з пацієнтом/пацієнткою (чи іншим законним представником дитини до 14 років) індивідуального плану лікування та реабілітації. </w:t>
      </w:r>
    </w:p>
    <w:p w:rsidR="00E93A05" w:rsidRDefault="00E93A05" w:rsidP="00E93A05">
      <w:pPr>
        <w:pStyle w:val="a3"/>
        <w:numPr>
          <w:ilvl w:val="0"/>
          <w:numId w:val="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Проведення необхідних лабораторних досліджень, зокрема: </w:t>
      </w:r>
    </w:p>
    <w:p w:rsidR="00E93A05" w:rsidRDefault="00E93A05" w:rsidP="00E93A05">
      <w:pPr>
        <w:pStyle w:val="a3"/>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розгорнутий клінічний аналіз крові; </w:t>
      </w:r>
    </w:p>
    <w:p w:rsidR="00E93A05" w:rsidRDefault="00E93A05" w:rsidP="00E93A05">
      <w:pPr>
        <w:pStyle w:val="a3"/>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глюкоза в цільній крові або сироватці крові; </w:t>
      </w:r>
    </w:p>
    <w:p w:rsidR="00E93A05" w:rsidRDefault="00E93A05" w:rsidP="00E93A05">
      <w:pPr>
        <w:pStyle w:val="a3"/>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біохімічний аналіз крові (загальний білок, альбумін, альфа-амілаза, </w:t>
      </w:r>
      <w:proofErr w:type="spellStart"/>
      <w:r>
        <w:rPr>
          <w:rFonts w:ascii="Times New Roman" w:hAnsi="Times New Roman"/>
          <w:sz w:val="24"/>
          <w:szCs w:val="24"/>
        </w:rPr>
        <w:t>аспартатамінотрансфераза</w:t>
      </w:r>
      <w:proofErr w:type="spellEnd"/>
      <w:r>
        <w:rPr>
          <w:rFonts w:ascii="Times New Roman" w:hAnsi="Times New Roman"/>
          <w:sz w:val="24"/>
          <w:szCs w:val="24"/>
        </w:rPr>
        <w:t xml:space="preserve"> (</w:t>
      </w:r>
      <w:proofErr w:type="spellStart"/>
      <w:r>
        <w:rPr>
          <w:rFonts w:ascii="Times New Roman" w:hAnsi="Times New Roman"/>
          <w:sz w:val="24"/>
          <w:szCs w:val="24"/>
        </w:rPr>
        <w:t>АсАТ</w:t>
      </w:r>
      <w:proofErr w:type="spellEnd"/>
      <w:r>
        <w:rPr>
          <w:rFonts w:ascii="Times New Roman" w:hAnsi="Times New Roman"/>
          <w:sz w:val="24"/>
          <w:szCs w:val="24"/>
        </w:rPr>
        <w:t xml:space="preserve">), </w:t>
      </w:r>
      <w:proofErr w:type="spellStart"/>
      <w:r>
        <w:rPr>
          <w:rFonts w:ascii="Times New Roman" w:hAnsi="Times New Roman"/>
          <w:sz w:val="24"/>
          <w:szCs w:val="24"/>
        </w:rPr>
        <w:t>аланінамінотрансфераза</w:t>
      </w:r>
      <w:proofErr w:type="spellEnd"/>
      <w:r>
        <w:rPr>
          <w:rFonts w:ascii="Times New Roman" w:hAnsi="Times New Roman"/>
          <w:sz w:val="24"/>
          <w:szCs w:val="24"/>
        </w:rPr>
        <w:t xml:space="preserve"> (</w:t>
      </w:r>
      <w:proofErr w:type="spellStart"/>
      <w:r>
        <w:rPr>
          <w:rFonts w:ascii="Times New Roman" w:hAnsi="Times New Roman"/>
          <w:sz w:val="24"/>
          <w:szCs w:val="24"/>
        </w:rPr>
        <w:t>АлАТ</w:t>
      </w:r>
      <w:proofErr w:type="spellEnd"/>
      <w:r>
        <w:rPr>
          <w:rFonts w:ascii="Times New Roman" w:hAnsi="Times New Roman"/>
          <w:sz w:val="24"/>
          <w:szCs w:val="24"/>
        </w:rPr>
        <w:t>), білірубін і його фракції (загальний, прямий, непрямий), креатинін, сечовина, сечова кислота, електроліти: натрій, калій, кальцій, хлор;</w:t>
      </w:r>
    </w:p>
    <w:p w:rsidR="00E93A05" w:rsidRDefault="00E93A05" w:rsidP="00E93A05">
      <w:pPr>
        <w:pStyle w:val="a3"/>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визначення концентрації літію;</w:t>
      </w:r>
    </w:p>
    <w:p w:rsidR="00E93A05" w:rsidRDefault="00E93A05" w:rsidP="00E93A05">
      <w:pPr>
        <w:pStyle w:val="a3"/>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загальний аналіз сечі; </w:t>
      </w:r>
    </w:p>
    <w:p w:rsidR="00E93A05" w:rsidRDefault="00E93A05" w:rsidP="00E93A05">
      <w:pPr>
        <w:pStyle w:val="a3"/>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визначення психоактивних речовин у </w:t>
      </w:r>
      <w:proofErr w:type="spellStart"/>
      <w:r>
        <w:rPr>
          <w:rFonts w:ascii="Times New Roman" w:hAnsi="Times New Roman"/>
          <w:sz w:val="24"/>
          <w:szCs w:val="24"/>
        </w:rPr>
        <w:t>біосубстратах</w:t>
      </w:r>
      <w:proofErr w:type="spellEnd"/>
      <w:r>
        <w:rPr>
          <w:rFonts w:ascii="Times New Roman" w:hAnsi="Times New Roman"/>
          <w:sz w:val="24"/>
          <w:szCs w:val="24"/>
        </w:rPr>
        <w:t xml:space="preserve"> людини сертифікованими експрес-методами (за допомогою тест-смужок, наприклад, для дослідження сечі та інші);</w:t>
      </w:r>
    </w:p>
    <w:p w:rsidR="00E93A05" w:rsidRDefault="00E93A05" w:rsidP="00E93A05">
      <w:pPr>
        <w:pStyle w:val="a3"/>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визначення алкоголю в </w:t>
      </w:r>
      <w:proofErr w:type="spellStart"/>
      <w:r>
        <w:rPr>
          <w:rFonts w:ascii="Times New Roman" w:hAnsi="Times New Roman"/>
          <w:sz w:val="24"/>
          <w:szCs w:val="24"/>
        </w:rPr>
        <w:t>біосубстратах</w:t>
      </w:r>
      <w:proofErr w:type="spellEnd"/>
      <w:r>
        <w:rPr>
          <w:rFonts w:ascii="Times New Roman" w:hAnsi="Times New Roman"/>
          <w:sz w:val="24"/>
          <w:szCs w:val="24"/>
        </w:rPr>
        <w:t xml:space="preserve"> людини сертифікованими експрес-методами (за допомогою тест-смужок на визначення алкоголю в слині, сечі, крові, а також за допомогою аналізаторів повітря, що видихає людина, тощо); </w:t>
      </w:r>
    </w:p>
    <w:p w:rsidR="00E93A05" w:rsidRDefault="00E93A05" w:rsidP="00E93A05">
      <w:pPr>
        <w:pStyle w:val="a3"/>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визначення вагітності сертифікованими експрес-методами (за допомогою тест-смужок);</w:t>
      </w:r>
    </w:p>
    <w:p w:rsidR="00E93A05" w:rsidRDefault="00E93A05" w:rsidP="00E93A05">
      <w:pPr>
        <w:pStyle w:val="a3"/>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інші лабораторні дослідження відповідно до галузевих стандартів. </w:t>
      </w:r>
    </w:p>
    <w:p w:rsidR="00E93A05" w:rsidRDefault="00E93A05" w:rsidP="00E93A05">
      <w:pPr>
        <w:pStyle w:val="a3"/>
        <w:numPr>
          <w:ilvl w:val="0"/>
          <w:numId w:val="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Проведення необхідних інструментальних досліджень, зокрема: </w:t>
      </w:r>
    </w:p>
    <w:p w:rsidR="00E93A05" w:rsidRDefault="00E93A05" w:rsidP="00E93A05">
      <w:pPr>
        <w:pStyle w:val="a3"/>
        <w:numPr>
          <w:ilvl w:val="0"/>
          <w:numId w:val="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електрокардіографія (ЕКГ); </w:t>
      </w:r>
    </w:p>
    <w:p w:rsidR="00E93A05" w:rsidRDefault="00E93A05" w:rsidP="00E93A05">
      <w:pPr>
        <w:pStyle w:val="a3"/>
        <w:numPr>
          <w:ilvl w:val="0"/>
          <w:numId w:val="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ультразвукові дослідження, зокрема, із проведенням </w:t>
      </w:r>
      <w:proofErr w:type="spellStart"/>
      <w:r>
        <w:rPr>
          <w:rFonts w:ascii="Times New Roman" w:hAnsi="Times New Roman"/>
          <w:sz w:val="24"/>
          <w:szCs w:val="24"/>
        </w:rPr>
        <w:t>доплерографії</w:t>
      </w:r>
      <w:proofErr w:type="spellEnd"/>
      <w:r>
        <w:rPr>
          <w:rFonts w:ascii="Times New Roman" w:hAnsi="Times New Roman"/>
          <w:sz w:val="24"/>
          <w:szCs w:val="24"/>
        </w:rPr>
        <w:t>;</w:t>
      </w:r>
    </w:p>
    <w:p w:rsidR="00E93A05" w:rsidRDefault="00E93A05" w:rsidP="00E93A05">
      <w:pPr>
        <w:pStyle w:val="a3"/>
        <w:numPr>
          <w:ilvl w:val="0"/>
          <w:numId w:val="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рентгенографічні дослідження; </w:t>
      </w:r>
    </w:p>
    <w:p w:rsidR="00E93A05" w:rsidRDefault="00E93A05" w:rsidP="00E93A05">
      <w:pPr>
        <w:pStyle w:val="a3"/>
        <w:numPr>
          <w:ilvl w:val="0"/>
          <w:numId w:val="3"/>
        </w:numPr>
        <w:shd w:val="clear" w:color="auto" w:fill="FFFFFF"/>
        <w:spacing w:after="0" w:line="240" w:lineRule="auto"/>
        <w:jc w:val="both"/>
        <w:rPr>
          <w:rFonts w:ascii="Times New Roman" w:hAnsi="Times New Roman"/>
          <w:sz w:val="24"/>
          <w:szCs w:val="24"/>
        </w:rPr>
      </w:pPr>
      <w:proofErr w:type="spellStart"/>
      <w:r>
        <w:rPr>
          <w:rFonts w:ascii="Times New Roman" w:hAnsi="Times New Roman"/>
          <w:sz w:val="24"/>
          <w:szCs w:val="24"/>
        </w:rPr>
        <w:t>електроенцефалографія</w:t>
      </w:r>
      <w:proofErr w:type="spellEnd"/>
      <w:r>
        <w:rPr>
          <w:rFonts w:ascii="Times New Roman" w:hAnsi="Times New Roman"/>
          <w:sz w:val="24"/>
          <w:szCs w:val="24"/>
        </w:rPr>
        <w:t xml:space="preserve"> (ЕЕГ); </w:t>
      </w:r>
    </w:p>
    <w:p w:rsidR="00E93A05" w:rsidRDefault="00E93A05" w:rsidP="00E93A05">
      <w:pPr>
        <w:pStyle w:val="a3"/>
        <w:numPr>
          <w:ilvl w:val="0"/>
          <w:numId w:val="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інші інструментальні дослідження відповідно до галузевих стандартів. </w:t>
      </w:r>
    </w:p>
    <w:p w:rsidR="00E93A05" w:rsidRDefault="00E93A05" w:rsidP="00E93A05">
      <w:pPr>
        <w:pStyle w:val="a3"/>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Проведення необхідних </w:t>
      </w:r>
      <w:proofErr w:type="spellStart"/>
      <w:r>
        <w:rPr>
          <w:rFonts w:ascii="Times New Roman" w:hAnsi="Times New Roman"/>
          <w:sz w:val="24"/>
          <w:szCs w:val="24"/>
        </w:rPr>
        <w:t>психодіагностичних</w:t>
      </w:r>
      <w:proofErr w:type="spellEnd"/>
      <w:r>
        <w:rPr>
          <w:rFonts w:ascii="Times New Roman" w:hAnsi="Times New Roman"/>
          <w:sz w:val="24"/>
          <w:szCs w:val="24"/>
        </w:rPr>
        <w:t xml:space="preserve"> тестів у динаміці, відповідно до галузевих стандартів.</w:t>
      </w:r>
    </w:p>
    <w:p w:rsidR="00E93A05" w:rsidRDefault="00E93A05" w:rsidP="00E93A05">
      <w:pPr>
        <w:pStyle w:val="a3"/>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Проведення консультацій лікарями інших спеціальностей. </w:t>
      </w:r>
    </w:p>
    <w:p w:rsidR="00E93A05" w:rsidRDefault="00E93A05" w:rsidP="00E93A05">
      <w:pPr>
        <w:pStyle w:val="a3"/>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Застосування фармакотерапії, психотерапії, методів психологічного впливу, а  також реабілітаційної допомоги відповідно до галузевих стандартів.</w:t>
      </w:r>
    </w:p>
    <w:p w:rsidR="00E93A05" w:rsidRDefault="00E93A05" w:rsidP="00E93A05">
      <w:pPr>
        <w:pStyle w:val="a3"/>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Своєчасне знеболення на всіх етапах діагностики та лікування: обов’язкове анестезіологічне забезпечення під час виконання всіх </w:t>
      </w:r>
      <w:proofErr w:type="spellStart"/>
      <w:r>
        <w:rPr>
          <w:rFonts w:ascii="Times New Roman" w:hAnsi="Times New Roman"/>
          <w:sz w:val="24"/>
          <w:szCs w:val="24"/>
        </w:rPr>
        <w:t>інвазивних</w:t>
      </w:r>
      <w:proofErr w:type="spellEnd"/>
      <w:r>
        <w:rPr>
          <w:rFonts w:ascii="Times New Roman" w:hAnsi="Times New Roman"/>
          <w:sz w:val="24"/>
          <w:szCs w:val="24"/>
        </w:rPr>
        <w:t xml:space="preserve"> діагностичних та інших лікувальних процедур, які цього вимагають, цілодобовий доступ до ненаркотичних та наркотичних знеболювальних засобів. </w:t>
      </w:r>
    </w:p>
    <w:p w:rsidR="00E93A05" w:rsidRDefault="00E93A05" w:rsidP="00E93A05">
      <w:pPr>
        <w:pStyle w:val="a3"/>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лікарськими засобами відповідно до Національного переліку основних лікарських засобів, медичними виробами та розхідними матеріалами відповідно до галузевих стандартів у сфері охорони здоров’я. </w:t>
      </w:r>
    </w:p>
    <w:p w:rsidR="00E93A05" w:rsidRDefault="00E93A05" w:rsidP="00E93A05">
      <w:pPr>
        <w:pStyle w:val="a3"/>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Направлення пацієнта/пацієнтки для отримання спеціалізованої медичної допомоги за іншими напрямами в інші ЗОЗ або виклик спеціалістів з цих закладів для медичної допомоги  пацієнту/пацієнтці, зокрема,  у випадку загострення супутніх захворювань, у разі неможливості його/її транспортування.</w:t>
      </w:r>
    </w:p>
    <w:p w:rsidR="00E93A05" w:rsidRDefault="00E93A05" w:rsidP="00E93A05">
      <w:pPr>
        <w:pStyle w:val="a3"/>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Цілодобовий лікарський</w:t>
      </w:r>
      <w:r>
        <w:rPr>
          <w:rFonts w:ascii="Times New Roman" w:hAnsi="Times New Roman"/>
          <w:b/>
          <w:sz w:val="24"/>
          <w:szCs w:val="24"/>
        </w:rPr>
        <w:t xml:space="preserve"> </w:t>
      </w:r>
      <w:r>
        <w:rPr>
          <w:rFonts w:ascii="Times New Roman" w:hAnsi="Times New Roman"/>
          <w:sz w:val="24"/>
          <w:szCs w:val="24"/>
        </w:rPr>
        <w:t xml:space="preserve"> та </w:t>
      </w:r>
      <w:proofErr w:type="spellStart"/>
      <w:r>
        <w:rPr>
          <w:rFonts w:ascii="Times New Roman" w:hAnsi="Times New Roman"/>
          <w:sz w:val="24"/>
          <w:szCs w:val="24"/>
        </w:rPr>
        <w:t>медсестринський</w:t>
      </w:r>
      <w:proofErr w:type="spellEnd"/>
      <w:r>
        <w:rPr>
          <w:rFonts w:ascii="Times New Roman" w:hAnsi="Times New Roman"/>
          <w:sz w:val="24"/>
          <w:szCs w:val="24"/>
        </w:rPr>
        <w:t xml:space="preserve"> догляд за пацієнтом/пацієнткою. </w:t>
      </w:r>
    </w:p>
    <w:p w:rsidR="00E93A05" w:rsidRDefault="00E93A05" w:rsidP="00E93A05">
      <w:pPr>
        <w:pStyle w:val="a3"/>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Формування разом з пацієнтом/пацієнткою та/або його/її законним представником і за їх згодою плану лікування, супроводу та реабілітації після завершення стаціонарного етапу лікування. Скерування пацієнта/пацієнтки в спеціалізований заклад для надання йому/їй подальшої психіатричної допомоги в амбулаторних умовах та/або за місцем перебування пацієнта/пацієнтки (спеціалістами та фахівцями мобільної </w:t>
      </w:r>
      <w:proofErr w:type="spellStart"/>
      <w:r>
        <w:rPr>
          <w:rFonts w:ascii="Times New Roman" w:hAnsi="Times New Roman"/>
          <w:sz w:val="24"/>
          <w:szCs w:val="24"/>
        </w:rPr>
        <w:lastRenderedPageBreak/>
        <w:t>мультидисциплінарної</w:t>
      </w:r>
      <w:proofErr w:type="spellEnd"/>
      <w:r>
        <w:rPr>
          <w:rFonts w:ascii="Times New Roman" w:hAnsi="Times New Roman"/>
          <w:sz w:val="24"/>
          <w:szCs w:val="24"/>
        </w:rPr>
        <w:t xml:space="preserve"> команди) та/або у заклад первинного рівня для супроводу і лікування пацієнта/пацієнтки сімейними лікарями. </w:t>
      </w:r>
    </w:p>
    <w:p w:rsidR="00E93A05" w:rsidRDefault="00E93A05" w:rsidP="00E93A05">
      <w:pPr>
        <w:pStyle w:val="a3"/>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Забезпечення надання медичної допомоги методами і засобами телемедицини в дистанційний спосіб (</w:t>
      </w:r>
      <w:proofErr w:type="spellStart"/>
      <w:r>
        <w:rPr>
          <w:rFonts w:ascii="Times New Roman" w:hAnsi="Times New Roman"/>
          <w:sz w:val="24"/>
          <w:szCs w:val="24"/>
        </w:rPr>
        <w:t>телеконсультування</w:t>
      </w:r>
      <w:proofErr w:type="spellEnd"/>
      <w:r>
        <w:rPr>
          <w:rFonts w:ascii="Times New Roman" w:hAnsi="Times New Roman"/>
          <w:sz w:val="24"/>
          <w:szCs w:val="24"/>
        </w:rPr>
        <w:t>/</w:t>
      </w:r>
      <w:proofErr w:type="spellStart"/>
      <w:r>
        <w:rPr>
          <w:rFonts w:ascii="Times New Roman" w:hAnsi="Times New Roman"/>
          <w:sz w:val="24"/>
          <w:szCs w:val="24"/>
        </w:rPr>
        <w:t>телевідеоконсультування</w:t>
      </w:r>
      <w:proofErr w:type="spellEnd"/>
      <w:r>
        <w:rPr>
          <w:rFonts w:ascii="Times New Roman" w:hAnsi="Times New Roman"/>
          <w:sz w:val="24"/>
          <w:szCs w:val="24"/>
        </w:rPr>
        <w:t xml:space="preserve"> у режимі реального або відкладеного часу, </w:t>
      </w:r>
      <w:proofErr w:type="spellStart"/>
      <w:r>
        <w:rPr>
          <w:rFonts w:ascii="Times New Roman" w:hAnsi="Times New Roman"/>
          <w:sz w:val="24"/>
          <w:szCs w:val="24"/>
        </w:rPr>
        <w:t>теледіагностики</w:t>
      </w:r>
      <w:proofErr w:type="spellEnd"/>
      <w:r>
        <w:rPr>
          <w:rFonts w:ascii="Times New Roman" w:hAnsi="Times New Roman"/>
          <w:sz w:val="24"/>
          <w:szCs w:val="24"/>
        </w:rPr>
        <w:t>, спостереження у режимі віддаленого моніторингу, телеметрії) разом з обстеженням та із застосуванням інших методів, що не суперечать законодавству.</w:t>
      </w:r>
    </w:p>
    <w:p w:rsidR="00E93A05" w:rsidRDefault="00E93A05" w:rsidP="00E93A05">
      <w:pPr>
        <w:pStyle w:val="a3"/>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харчування в умовах стаціонару. </w:t>
      </w:r>
    </w:p>
    <w:p w:rsidR="00E93A05" w:rsidRDefault="00E93A05" w:rsidP="00E93A05">
      <w:pPr>
        <w:pStyle w:val="a3"/>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Дотримання принципів </w:t>
      </w:r>
      <w:proofErr w:type="spellStart"/>
      <w:r>
        <w:rPr>
          <w:rFonts w:ascii="Times New Roman" w:hAnsi="Times New Roman"/>
          <w:sz w:val="24"/>
          <w:szCs w:val="24"/>
        </w:rPr>
        <w:t>безбар’єрності</w:t>
      </w:r>
      <w:proofErr w:type="spellEnd"/>
      <w:r>
        <w:rPr>
          <w:rFonts w:ascii="Times New Roman" w:hAnsi="Times New Roman"/>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E93A05" w:rsidRDefault="00E93A05" w:rsidP="00E93A05">
      <w:pPr>
        <w:shd w:val="clear" w:color="auto" w:fill="FFFFFF"/>
        <w:spacing w:after="0" w:line="240" w:lineRule="auto"/>
        <w:jc w:val="both"/>
        <w:rPr>
          <w:rFonts w:ascii="Times New Roman" w:hAnsi="Times New Roman"/>
          <w:sz w:val="24"/>
          <w:szCs w:val="24"/>
        </w:rPr>
      </w:pPr>
    </w:p>
    <w:p w:rsidR="00E93A05" w:rsidRDefault="00E93A05" w:rsidP="00E93A05">
      <w:pPr>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Додатковий обсяг медичних послуг, який надавач зобов’язується надавати за договором відповідно до медичних потреб пацієнта/пацієнтки (специфікація) за умови відповідності ЗОЗ додатковим умовам закупівлі:</w:t>
      </w:r>
    </w:p>
    <w:p w:rsidR="00E93A05" w:rsidRDefault="00E93A05" w:rsidP="00E93A05">
      <w:pPr>
        <w:pStyle w:val="a3"/>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Лікування пацієнта/пацієнтки із загрозливими для життя станами (гостра інтоксикація психоактивними речовинами важкого ступеня, алкогольний делірій, синдром відміни психоактивних речовин, злоякісний нейролептичний/</w:t>
      </w:r>
      <w:proofErr w:type="spellStart"/>
      <w:r>
        <w:rPr>
          <w:rFonts w:ascii="Times New Roman" w:hAnsi="Times New Roman"/>
          <w:sz w:val="24"/>
          <w:szCs w:val="24"/>
        </w:rPr>
        <w:t>серотоніновий</w:t>
      </w:r>
      <w:proofErr w:type="spellEnd"/>
      <w:r>
        <w:rPr>
          <w:rFonts w:ascii="Times New Roman" w:hAnsi="Times New Roman"/>
          <w:sz w:val="24"/>
          <w:szCs w:val="24"/>
        </w:rPr>
        <w:t xml:space="preserve"> синдром, епілептичний статус, </w:t>
      </w:r>
      <w:proofErr w:type="spellStart"/>
      <w:r>
        <w:rPr>
          <w:rFonts w:ascii="Times New Roman" w:hAnsi="Times New Roman"/>
          <w:sz w:val="24"/>
          <w:szCs w:val="24"/>
        </w:rPr>
        <w:t>фебрильна</w:t>
      </w:r>
      <w:proofErr w:type="spellEnd"/>
      <w:r>
        <w:rPr>
          <w:rFonts w:ascii="Times New Roman" w:hAnsi="Times New Roman"/>
          <w:sz w:val="24"/>
          <w:szCs w:val="24"/>
        </w:rPr>
        <w:t xml:space="preserve"> шизофренія, </w:t>
      </w:r>
      <w:proofErr w:type="spellStart"/>
      <w:r>
        <w:rPr>
          <w:rFonts w:ascii="Times New Roman" w:hAnsi="Times New Roman"/>
          <w:sz w:val="24"/>
          <w:szCs w:val="24"/>
        </w:rPr>
        <w:t>суїцидальна</w:t>
      </w:r>
      <w:proofErr w:type="spellEnd"/>
      <w:r>
        <w:rPr>
          <w:rFonts w:ascii="Times New Roman" w:hAnsi="Times New Roman"/>
          <w:sz w:val="24"/>
          <w:szCs w:val="24"/>
        </w:rPr>
        <w:t xml:space="preserve"> поведінка, гостре психомоторне збудження та інші) в умовах </w:t>
      </w:r>
      <w:r>
        <w:rPr>
          <w:rFonts w:ascii="Times New Roman" w:hAnsi="Times New Roman"/>
          <w:b/>
          <w:sz w:val="24"/>
          <w:szCs w:val="24"/>
        </w:rPr>
        <w:t>окремої</w:t>
      </w:r>
      <w:r>
        <w:rPr>
          <w:rFonts w:ascii="Times New Roman" w:hAnsi="Times New Roman"/>
          <w:sz w:val="24"/>
          <w:szCs w:val="24"/>
        </w:rPr>
        <w:t xml:space="preserve"> палати/відділення інтенсивної терапії.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
    <w:p w:rsidR="00E93A05" w:rsidRDefault="00E93A05" w:rsidP="00E93A05">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ПСИХІАТРИЧНА ДОПОМОГА ДОРОСЛИМ ТА ДІТЯМ У СТАЦІОНАРНИХ УМОВАХ</w:t>
      </w:r>
    </w:p>
    <w:p w:rsidR="00E93A05" w:rsidRDefault="00E93A05" w:rsidP="00E93A05">
      <w:pPr>
        <w:shd w:val="clear" w:color="auto" w:fill="FFFFFF"/>
        <w:spacing w:after="0" w:line="240" w:lineRule="auto"/>
        <w:jc w:val="center"/>
        <w:rPr>
          <w:rFonts w:ascii="Times New Roman" w:hAnsi="Times New Roman"/>
          <w:b/>
          <w:sz w:val="24"/>
          <w:szCs w:val="24"/>
        </w:rPr>
      </w:pPr>
    </w:p>
    <w:p w:rsidR="00E93A05" w:rsidRDefault="00E93A05" w:rsidP="00E93A05">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Умови закупівлі медичних послуг</w:t>
      </w:r>
    </w:p>
    <w:p w:rsidR="00E93A05" w:rsidRDefault="00E93A05" w:rsidP="00E93A05">
      <w:pPr>
        <w:shd w:val="clear" w:color="auto" w:fill="FFFFFF"/>
        <w:spacing w:after="0" w:line="240" w:lineRule="auto"/>
        <w:jc w:val="both"/>
        <w:rPr>
          <w:rFonts w:ascii="Times New Roman" w:hAnsi="Times New Roman"/>
          <w:sz w:val="24"/>
          <w:szCs w:val="24"/>
        </w:rPr>
      </w:pP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i/>
          <w:sz w:val="24"/>
          <w:szCs w:val="24"/>
        </w:rPr>
        <w:t>Умови надання послуги:</w:t>
      </w:r>
      <w:r>
        <w:rPr>
          <w:rFonts w:ascii="Times New Roman" w:hAnsi="Times New Roman"/>
          <w:sz w:val="24"/>
          <w:szCs w:val="24"/>
        </w:rPr>
        <w:t xml:space="preserve"> стаціонарно. </w:t>
      </w:r>
    </w:p>
    <w:p w:rsidR="00E93A05" w:rsidRDefault="00E93A05" w:rsidP="00E93A05">
      <w:pPr>
        <w:shd w:val="clear" w:color="auto" w:fill="FFFFFF"/>
        <w:spacing w:after="0" w:line="240" w:lineRule="auto"/>
        <w:jc w:val="both"/>
        <w:rPr>
          <w:rFonts w:ascii="Times New Roman" w:hAnsi="Times New Roman"/>
          <w:i/>
          <w:sz w:val="24"/>
          <w:szCs w:val="24"/>
        </w:rPr>
      </w:pP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i/>
          <w:sz w:val="24"/>
          <w:szCs w:val="24"/>
        </w:rPr>
        <w:t>Підстави надання послуги:</w:t>
      </w:r>
      <w:r>
        <w:rPr>
          <w:rFonts w:ascii="Times New Roman" w:hAnsi="Times New Roman"/>
          <w:sz w:val="24"/>
          <w:szCs w:val="24"/>
        </w:rPr>
        <w:t xml:space="preserve">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направлення лікаря з надання ПМД, якого обрано за декларацією про вибір лікаря;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направлення лікуючого лікаря;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самозвернення</w:t>
      </w:r>
      <w:proofErr w:type="spellEnd"/>
      <w:r>
        <w:rPr>
          <w:rFonts w:ascii="Times New Roman" w:hAnsi="Times New Roman"/>
          <w:sz w:val="24"/>
          <w:szCs w:val="24"/>
        </w:rPr>
        <w:t xml:space="preserve">;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доставлення бригадою екстреної (швидкої) медичної допомоги;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доставлення поліцейськими в межах положення про поліцейське піклування відповідно до статті 41 Закону України «Про Національну поліцію»;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переведення з іншого ЗОЗ та/або клінічного підрозділу ЗОЗ;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за рішенням суду, у випадку, якщо пацієнт/пацієнтка не дає згоди на госпіталізацію відповідно до Закону України «Про психіатричну допомогу».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i/>
          <w:sz w:val="24"/>
          <w:szCs w:val="24"/>
        </w:rPr>
        <w:t>Вимоги до організації надання послуги:</w:t>
      </w:r>
      <w:r>
        <w:rPr>
          <w:rFonts w:ascii="Times New Roman" w:hAnsi="Times New Roman"/>
          <w:sz w:val="24"/>
          <w:szCs w:val="24"/>
        </w:rPr>
        <w:t xml:space="preserve"> </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Наявність палати/відділення для лікування пацієнтів з розладами психіки та поведінки.</w:t>
      </w:r>
    </w:p>
    <w:p w:rsidR="00E93A05" w:rsidRDefault="00E93A05" w:rsidP="00E93A05">
      <w:pPr>
        <w:pStyle w:val="a3"/>
        <w:numPr>
          <w:ilvl w:val="0"/>
          <w:numId w:val="6"/>
        </w:numPr>
        <w:shd w:val="clear" w:color="auto" w:fill="FFFFFF"/>
        <w:spacing w:after="0" w:line="240" w:lineRule="auto"/>
        <w:jc w:val="both"/>
        <w:rPr>
          <w:rFonts w:ascii="Times New Roman" w:hAnsi="Times New Roman"/>
          <w:b/>
          <w:bCs/>
          <w:sz w:val="24"/>
          <w:szCs w:val="24"/>
        </w:rPr>
      </w:pPr>
      <w:r>
        <w:rPr>
          <w:rFonts w:ascii="Times New Roman" w:hAnsi="Times New Roman"/>
          <w:b/>
          <w:bCs/>
          <w:sz w:val="24"/>
          <w:szCs w:val="24"/>
        </w:rPr>
        <w:t>Наявність приміщення для застосування фізичного обмеження та/або ізоляції відповідно до нормативно-правових актів.</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Забезпечення психіатричного огляду пацієнтів із визначенням потреби в їхній госпіталізації  та забезпечення формування лікарем-психіатром (лікарем-психіатром дитячим за умови надання допомоги дітям) у співпраці з пацієнтами індивідуального плану лікування і реабілітації.</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проведення лабораторних досліджень, визначених у специфікаціях, у ЗОЗ або на умовах оренди, </w:t>
      </w:r>
      <w:proofErr w:type="spellStart"/>
      <w:r>
        <w:rPr>
          <w:rFonts w:ascii="Times New Roman" w:hAnsi="Times New Roman"/>
          <w:sz w:val="24"/>
          <w:szCs w:val="24"/>
        </w:rPr>
        <w:t>підряду</w:t>
      </w:r>
      <w:proofErr w:type="spellEnd"/>
      <w:r>
        <w:rPr>
          <w:rFonts w:ascii="Times New Roman" w:hAnsi="Times New Roman"/>
          <w:sz w:val="24"/>
          <w:szCs w:val="24"/>
        </w:rPr>
        <w:t xml:space="preserve"> та інших умов  користування. </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проведення інструментальних досліджень, визначених у специфікаціях, у ЗОЗ або на умовах оренди, </w:t>
      </w:r>
      <w:proofErr w:type="spellStart"/>
      <w:r>
        <w:rPr>
          <w:rFonts w:ascii="Times New Roman" w:hAnsi="Times New Roman"/>
          <w:sz w:val="24"/>
          <w:szCs w:val="24"/>
        </w:rPr>
        <w:t>підряду</w:t>
      </w:r>
      <w:proofErr w:type="spellEnd"/>
      <w:r>
        <w:rPr>
          <w:rFonts w:ascii="Times New Roman" w:hAnsi="Times New Roman"/>
          <w:sz w:val="24"/>
          <w:szCs w:val="24"/>
        </w:rPr>
        <w:t xml:space="preserve"> та інших умов  користування. </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Забезпечення проведення необхідних </w:t>
      </w:r>
      <w:proofErr w:type="spellStart"/>
      <w:r>
        <w:rPr>
          <w:rFonts w:ascii="Times New Roman" w:hAnsi="Times New Roman"/>
          <w:sz w:val="24"/>
          <w:szCs w:val="24"/>
        </w:rPr>
        <w:t>психодіагностичних</w:t>
      </w:r>
      <w:proofErr w:type="spellEnd"/>
      <w:r>
        <w:rPr>
          <w:rFonts w:ascii="Times New Roman" w:hAnsi="Times New Roman"/>
          <w:sz w:val="24"/>
          <w:szCs w:val="24"/>
        </w:rPr>
        <w:t xml:space="preserve"> тестів у динаміці, відповідно до галузевих стандартів.</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Забезпечення своєчасного знеболення всіх болісних діагностичних та лікувальних процедур. Цілодобове забезпечення ненаркотичними та наркотичними знеболювальними засобами.</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Забезпечення фармакотерапії, психотерапії, методів психологічного впливу, а також реабілітаційної допомоги відповідно до галузевих стандартів.</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Забезпечення цілодобового лікарського спостереження лікарем-психіатром або лікарем іншої спеціалізації, який виконує обов’язки чергового лікаря.</w:t>
      </w:r>
    </w:p>
    <w:p w:rsidR="00E93A05" w:rsidRDefault="00E93A05" w:rsidP="00E93A05">
      <w:pPr>
        <w:pStyle w:val="a3"/>
        <w:numPr>
          <w:ilvl w:val="0"/>
          <w:numId w:val="6"/>
        </w:numPr>
        <w:shd w:val="clear" w:color="auto" w:fill="FFFFFF"/>
        <w:spacing w:after="0" w:line="240" w:lineRule="auto"/>
        <w:jc w:val="both"/>
        <w:rPr>
          <w:rFonts w:ascii="Times New Roman" w:hAnsi="Times New Roman"/>
          <w:b/>
          <w:bCs/>
          <w:sz w:val="24"/>
          <w:szCs w:val="24"/>
        </w:rPr>
      </w:pPr>
      <w:r>
        <w:rPr>
          <w:rFonts w:ascii="Times New Roman" w:hAnsi="Times New Roman"/>
          <w:b/>
          <w:bCs/>
          <w:sz w:val="24"/>
          <w:szCs w:val="24"/>
        </w:rPr>
        <w:t xml:space="preserve">Забезпечення цілодобового </w:t>
      </w:r>
      <w:proofErr w:type="spellStart"/>
      <w:r>
        <w:rPr>
          <w:rFonts w:ascii="Times New Roman" w:hAnsi="Times New Roman"/>
          <w:b/>
          <w:bCs/>
          <w:sz w:val="24"/>
          <w:szCs w:val="24"/>
        </w:rPr>
        <w:t>медсестринського</w:t>
      </w:r>
      <w:proofErr w:type="spellEnd"/>
      <w:r>
        <w:rPr>
          <w:rFonts w:ascii="Times New Roman" w:hAnsi="Times New Roman"/>
          <w:b/>
          <w:bCs/>
          <w:sz w:val="24"/>
          <w:szCs w:val="24"/>
        </w:rPr>
        <w:t xml:space="preserve"> догляду за пацієнтами.</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надання профільними фахівцями (з числа працівників надавача або за договором </w:t>
      </w:r>
      <w:proofErr w:type="spellStart"/>
      <w:r>
        <w:rPr>
          <w:rFonts w:ascii="Times New Roman" w:hAnsi="Times New Roman"/>
          <w:sz w:val="24"/>
          <w:szCs w:val="24"/>
        </w:rPr>
        <w:t>підряду</w:t>
      </w:r>
      <w:proofErr w:type="spellEnd"/>
      <w:r>
        <w:rPr>
          <w:rFonts w:ascii="Times New Roman" w:hAnsi="Times New Roman"/>
          <w:sz w:val="24"/>
          <w:szCs w:val="24"/>
        </w:rPr>
        <w:t>) медичної допомоги пацієнтам при загостренні у них супутніх захворювань в умовах психіатричного стаціонару при відсутності показів для переведення пацієнтів в інший заклад/клінічний підрозділ закладу або у разі неможливості його транспортування.</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направлення пацієнтів для отримання спеціалізованої медичної допомоги за іншими напрямами в інші ЗОЗ. </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Забезпечення проведення консультацій, зокрема методами і засобами телемедицини в дистанційний спосіб (</w:t>
      </w:r>
      <w:proofErr w:type="spellStart"/>
      <w:r>
        <w:rPr>
          <w:rFonts w:ascii="Times New Roman" w:hAnsi="Times New Roman"/>
          <w:sz w:val="24"/>
          <w:szCs w:val="24"/>
        </w:rPr>
        <w:t>телеконсультування</w:t>
      </w:r>
      <w:proofErr w:type="spellEnd"/>
      <w:r>
        <w:rPr>
          <w:rFonts w:ascii="Times New Roman" w:hAnsi="Times New Roman"/>
          <w:sz w:val="24"/>
          <w:szCs w:val="24"/>
        </w:rPr>
        <w:t xml:space="preserve"> у режимі реального часу).</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дотримання прав людини при застосуванні фізичного обмеження (не більше 4 годин при разовому застосуванні) та/або ізоляції (не більше 8 годин при разовому застосуванні) пацієнтів з розладами психіки та поведінки, які перебувають у стані психомоторного збудження, у випадках, коли всіма іншими законними заходами неможливо запобігти їх діям, що становлять безпосередню небезпеку для них або інших осіб. </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права пацієнтів, які перебувають на лікуванні у відділенні інтенсивної терапії, на допуск до нього/неї відвідувачів, згідно з правилами, визначеними чинними нормативно-правовими актами із дотриманням положень Закону України «Про психіатричну допомогу». </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 </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Залучення щонайменше одного фахівця з соціальної роботи та/або соціального працівника, зокрема, за рахунок місцевих бюджетів та коштів інших програм центрального бюджету. </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b/>
          <w:sz w:val="24"/>
          <w:szCs w:val="24"/>
        </w:rPr>
        <w:t xml:space="preserve">Наявність плану протиепідемічної готовності/реагування на випадок виявлення особливо небезпечних інфекційних </w:t>
      </w:r>
      <w:proofErr w:type="spellStart"/>
      <w:r>
        <w:rPr>
          <w:rFonts w:ascii="Times New Roman" w:hAnsi="Times New Roman"/>
          <w:b/>
          <w:sz w:val="24"/>
          <w:szCs w:val="24"/>
        </w:rPr>
        <w:t>хвороб</w:t>
      </w:r>
      <w:proofErr w:type="spellEnd"/>
      <w:r>
        <w:rPr>
          <w:rFonts w:ascii="Times New Roman" w:hAnsi="Times New Roman"/>
          <w:b/>
          <w:sz w:val="24"/>
          <w:szCs w:val="24"/>
        </w:rPr>
        <w:t>.</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Наявність затвердженої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 </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Взаємодія з іншими надавачами медичних послуг, центрами соціальних служб для сім'ї, дітей та молоді, службами у справах дітей, територіальними центрами соціального обслуговування населення, іншими надавачами соціальних послуг, зокрема, неурядовими та благодійними організаціями, правоохоронними органами, підприємствами, установами та організаціями, засобами масової інформації, органами місцевого самоврядування на території обслуговування для забезпечення </w:t>
      </w:r>
      <w:r>
        <w:rPr>
          <w:rFonts w:ascii="Times New Roman" w:hAnsi="Times New Roman"/>
          <w:sz w:val="24"/>
          <w:szCs w:val="24"/>
        </w:rPr>
        <w:lastRenderedPageBreak/>
        <w:t xml:space="preserve">комплексного спостереження, лікування та реабілітації пацієнтів з розладами психіки та поведінки. </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Здійснення закупівлі лікарських засобів,  визначених Національним переліком основних лікарських засобів,   медичних виробів та витратних матеріалів, необхідних для надання медичної допомоги відповідно до галузевих стандартів у сфері охорони здоров’я. </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Організація ефективного управління запасами лікарських засобів, медичних виробів та витратних матеріалів, закуплених ЗОЗ або отриманих шляхом централізованих </w:t>
      </w:r>
      <w:proofErr w:type="spellStart"/>
      <w:r>
        <w:rPr>
          <w:rFonts w:ascii="Times New Roman" w:hAnsi="Times New Roman"/>
          <w:sz w:val="24"/>
          <w:szCs w:val="24"/>
        </w:rPr>
        <w:t>закупівель</w:t>
      </w:r>
      <w:proofErr w:type="spellEnd"/>
      <w:r>
        <w:rPr>
          <w:rFonts w:ascii="Times New Roman" w:hAnsi="Times New Roman"/>
          <w:sz w:val="24"/>
          <w:szCs w:val="24"/>
        </w:rPr>
        <w:t xml:space="preserve"> МОЗ. Використання та збереження залишків лікарських засобів та медичних виробів, необхідних для лікування пацієнтів, зокрема, після закінчення дії договору з НСЗУ.</w:t>
      </w:r>
    </w:p>
    <w:p w:rsidR="00E93A05" w:rsidRDefault="00E93A05" w:rsidP="00E93A05">
      <w:pPr>
        <w:pStyle w:val="a3"/>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дотримання принципів </w:t>
      </w:r>
      <w:proofErr w:type="spellStart"/>
      <w:r>
        <w:rPr>
          <w:rFonts w:ascii="Times New Roman" w:hAnsi="Times New Roman"/>
          <w:sz w:val="24"/>
          <w:szCs w:val="24"/>
        </w:rPr>
        <w:t>безбар’єрності</w:t>
      </w:r>
      <w:proofErr w:type="spellEnd"/>
      <w:r>
        <w:rPr>
          <w:rFonts w:ascii="Times New Roman" w:hAnsi="Times New Roman"/>
          <w:sz w:val="24"/>
          <w:szCs w:val="24"/>
        </w:rPr>
        <w:t xml:space="preserve"> та інклюзії при наданні медичної допомоги, у тому числі з використанням методів і засобів телемедицини відповідно до нормативно-правових актів.</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
    <w:p w:rsidR="00E93A05" w:rsidRDefault="00E93A05" w:rsidP="00E93A05">
      <w:pPr>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Додаткові вимоги до організації надання послуги:</w:t>
      </w:r>
    </w:p>
    <w:p w:rsidR="00E93A05" w:rsidRDefault="00E93A05" w:rsidP="00E93A05">
      <w:pPr>
        <w:pStyle w:val="a3"/>
        <w:numPr>
          <w:ilvl w:val="0"/>
          <w:numId w:val="7"/>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Наявність </w:t>
      </w:r>
      <w:r>
        <w:rPr>
          <w:rFonts w:ascii="Times New Roman" w:hAnsi="Times New Roman"/>
          <w:b/>
          <w:sz w:val="24"/>
          <w:szCs w:val="24"/>
        </w:rPr>
        <w:t xml:space="preserve">окремої </w:t>
      </w:r>
      <w:r>
        <w:rPr>
          <w:rFonts w:ascii="Times New Roman" w:hAnsi="Times New Roman"/>
          <w:sz w:val="24"/>
          <w:szCs w:val="24"/>
        </w:rPr>
        <w:t>палати</w:t>
      </w:r>
      <w:r>
        <w:rPr>
          <w:rFonts w:ascii="Times New Roman" w:hAnsi="Times New Roman"/>
          <w:b/>
          <w:sz w:val="24"/>
          <w:szCs w:val="24"/>
        </w:rPr>
        <w:t>/</w:t>
      </w:r>
      <w:r>
        <w:rPr>
          <w:rFonts w:ascii="Times New Roman" w:hAnsi="Times New Roman"/>
          <w:sz w:val="24"/>
          <w:szCs w:val="24"/>
        </w:rPr>
        <w:t>відділення інтенсивної терапії, обладнаних відповідно до табеля матеріально-технічного оснащення для лікування пацієнтів із загрозливими для життя станами (гостра інтоксикація психоактивними речовинами важкого ступеня, алкогольний делірій, синдром відміни психоактивних речовин, злоякісний нейролептичний/</w:t>
      </w:r>
      <w:proofErr w:type="spellStart"/>
      <w:r>
        <w:rPr>
          <w:rFonts w:ascii="Times New Roman" w:hAnsi="Times New Roman"/>
          <w:sz w:val="24"/>
          <w:szCs w:val="24"/>
        </w:rPr>
        <w:t>серотоніновий</w:t>
      </w:r>
      <w:proofErr w:type="spellEnd"/>
      <w:r>
        <w:rPr>
          <w:rFonts w:ascii="Times New Roman" w:hAnsi="Times New Roman"/>
          <w:sz w:val="24"/>
          <w:szCs w:val="24"/>
        </w:rPr>
        <w:t xml:space="preserve"> синдром, епілептичний статус, </w:t>
      </w:r>
      <w:proofErr w:type="spellStart"/>
      <w:r>
        <w:rPr>
          <w:rFonts w:ascii="Times New Roman" w:hAnsi="Times New Roman"/>
          <w:sz w:val="24"/>
          <w:szCs w:val="24"/>
        </w:rPr>
        <w:t>фебрильна</w:t>
      </w:r>
      <w:proofErr w:type="spellEnd"/>
      <w:r>
        <w:rPr>
          <w:rFonts w:ascii="Times New Roman" w:hAnsi="Times New Roman"/>
          <w:sz w:val="24"/>
          <w:szCs w:val="24"/>
        </w:rPr>
        <w:t xml:space="preserve"> шизофренія, </w:t>
      </w:r>
      <w:proofErr w:type="spellStart"/>
      <w:r>
        <w:rPr>
          <w:rFonts w:ascii="Times New Roman" w:hAnsi="Times New Roman"/>
          <w:sz w:val="24"/>
          <w:szCs w:val="24"/>
        </w:rPr>
        <w:t>суїцидальна</w:t>
      </w:r>
      <w:proofErr w:type="spellEnd"/>
      <w:r>
        <w:rPr>
          <w:rFonts w:ascii="Times New Roman" w:hAnsi="Times New Roman"/>
          <w:sz w:val="24"/>
          <w:szCs w:val="24"/>
        </w:rPr>
        <w:t xml:space="preserve"> поведінка, гостре психомоторне збудження та інші).</w:t>
      </w:r>
    </w:p>
    <w:p w:rsidR="00E93A05" w:rsidRDefault="00E93A05" w:rsidP="00E93A05">
      <w:pPr>
        <w:pStyle w:val="a3"/>
        <w:numPr>
          <w:ilvl w:val="0"/>
          <w:numId w:val="7"/>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Забезпечення права пацієнтів, які перебувають на лікуванні у відділенні інтенсивної терапії, на допуск до нього/неї відвідувачів, згідно з правилами, визначеними чинними нормативно-правовими актами із дотриманням положень Закону України «Про психіатричну допомогу».</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
    <w:p w:rsidR="00E93A05" w:rsidRDefault="00E93A05" w:rsidP="00E93A05">
      <w:pPr>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Вимоги до спеціалістів та кількості фахівців, які працюють на посадах: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У ЗОЗ: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a. Лікар-психіатр та/або лікар-психіатр дитячий (за умови надання допомоги дітям) – щонайменше 2 особи із зазначеного переліку, які працюють за основним місцем роботи в цьому ЗОЗ.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b. Лікар-психолог та/або лікар-психотерапевт, та/або психолог, та/або клінічний психолог, та/або психотерапевт – щонайменше 2 особи із зазначеного переліку, які працюють за основним місцем роботи в цьому ЗОЗ.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c. Сестра медична (брат медичний) – щонайменше </w:t>
      </w:r>
      <w:r>
        <w:rPr>
          <w:rFonts w:ascii="Times New Roman" w:hAnsi="Times New Roman"/>
          <w:b/>
          <w:sz w:val="24"/>
          <w:szCs w:val="24"/>
        </w:rPr>
        <w:t xml:space="preserve">4 </w:t>
      </w:r>
      <w:r>
        <w:rPr>
          <w:rFonts w:ascii="Times New Roman" w:hAnsi="Times New Roman"/>
          <w:sz w:val="24"/>
          <w:szCs w:val="24"/>
        </w:rPr>
        <w:t xml:space="preserve">осіб, які працюють за основним місцем роботи в цьому ЗОЗ.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
    <w:p w:rsidR="00E93A05" w:rsidRDefault="00E93A05" w:rsidP="00E93A05">
      <w:pPr>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Додаткові вимоги до спеціалістів та кількості фахівців, які працюють на посадах: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У ЗОЗ: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a. Лікар-анестезіолог та/або лікар-анестезіолог дитячий (за умови надання допомоги дітям) – щонайменше 2 особи із зазначеного переліку, які працюють за основним місцем роботи в цьому ЗОЗ.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b. Сестра медична (брат медичний) – щонайменше </w:t>
      </w:r>
      <w:r>
        <w:rPr>
          <w:rFonts w:ascii="Times New Roman" w:hAnsi="Times New Roman"/>
          <w:b/>
          <w:sz w:val="24"/>
          <w:szCs w:val="24"/>
        </w:rPr>
        <w:t>8</w:t>
      </w:r>
      <w:r>
        <w:rPr>
          <w:rFonts w:ascii="Times New Roman" w:hAnsi="Times New Roman"/>
          <w:sz w:val="24"/>
          <w:szCs w:val="24"/>
        </w:rPr>
        <w:t xml:space="preserve"> особи додатково до основного переліку, які працюють за основним місцем роботи в цьому ЗОЗ.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
    <w:p w:rsidR="00E93A05" w:rsidRDefault="00E93A05" w:rsidP="00E93A05">
      <w:pPr>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Вимоги до переліку обладнання: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У ЗОЗ: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a. електрокардіограф багатоканальний;</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b. портативний дефібрилятор з функцією синхронізації;</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c. резервне джерело електропостачання;</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d. автоматичне перемикальне комутаційне обладнання відповідно до ДСТУ IEC 60947-6-1: 2007.</w:t>
      </w:r>
    </w:p>
    <w:p w:rsidR="00E93A05" w:rsidRDefault="00E93A05" w:rsidP="00E93A05">
      <w:pPr>
        <w:shd w:val="clear" w:color="auto" w:fill="FFFFFF"/>
        <w:spacing w:after="0" w:line="240" w:lineRule="auto"/>
        <w:jc w:val="both"/>
        <w:rPr>
          <w:rFonts w:ascii="Times New Roman" w:hAnsi="Times New Roman"/>
          <w:sz w:val="24"/>
          <w:szCs w:val="24"/>
        </w:rPr>
      </w:pP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2.    За місцем надання медичних послуг: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proofErr w:type="spellStart"/>
      <w:r>
        <w:rPr>
          <w:rFonts w:ascii="Times New Roman" w:hAnsi="Times New Roman"/>
          <w:sz w:val="24"/>
          <w:szCs w:val="24"/>
        </w:rPr>
        <w:t>пульсоксиметр</w:t>
      </w:r>
      <w:proofErr w:type="spellEnd"/>
      <w:r>
        <w:rPr>
          <w:rFonts w:ascii="Times New Roman" w:hAnsi="Times New Roman"/>
          <w:sz w:val="24"/>
          <w:szCs w:val="24"/>
        </w:rPr>
        <w:t xml:space="preserve">;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proofErr w:type="spellStart"/>
      <w:r>
        <w:rPr>
          <w:rFonts w:ascii="Times New Roman" w:hAnsi="Times New Roman"/>
          <w:sz w:val="24"/>
          <w:szCs w:val="24"/>
        </w:rPr>
        <w:t>глюкометр</w:t>
      </w:r>
      <w:proofErr w:type="spellEnd"/>
      <w:r>
        <w:rPr>
          <w:rFonts w:ascii="Times New Roman" w:hAnsi="Times New Roman"/>
          <w:sz w:val="24"/>
          <w:szCs w:val="24"/>
        </w:rPr>
        <w:t xml:space="preserve"> - щонайменше 2;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 xml:space="preserve">тонометр та/або тонометр педіатричний з манжетками для дітей різного віку - щонайменше 2;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 xml:space="preserve">термометр безконтактний - щонайменше 2.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
    <w:p w:rsidR="00E93A05" w:rsidRDefault="00E93A05" w:rsidP="00E93A05">
      <w:pPr>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Додаткові вимоги до переліку обладнання: </w:t>
      </w:r>
    </w:p>
    <w:p w:rsidR="00E93A05" w:rsidRDefault="00E93A05" w:rsidP="00E93A05">
      <w:pPr>
        <w:shd w:val="clear" w:color="auto" w:fill="FFFFFF"/>
        <w:spacing w:after="0" w:line="240" w:lineRule="auto"/>
        <w:jc w:val="both"/>
        <w:rPr>
          <w:rFonts w:ascii="Times New Roman" w:hAnsi="Times New Roman"/>
          <w:i/>
          <w:sz w:val="24"/>
          <w:szCs w:val="24"/>
        </w:rPr>
      </w:pPr>
      <w:r>
        <w:rPr>
          <w:rFonts w:ascii="Times New Roman" w:hAnsi="Times New Roman"/>
          <w:sz w:val="24"/>
          <w:szCs w:val="24"/>
        </w:rPr>
        <w:t>За місцем надання медичних послуг:</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У відділенні/палаті інтенсивної терапії: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автономне резервне джерело електропостачання з приєднанням до нього внутрішніх мереж відділення/палати відповідно до нормативно-технічних документів;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централізована система </w:t>
      </w:r>
      <w:proofErr w:type="spellStart"/>
      <w:r>
        <w:rPr>
          <w:rFonts w:ascii="Times New Roman" w:hAnsi="Times New Roman"/>
          <w:sz w:val="24"/>
          <w:szCs w:val="24"/>
        </w:rPr>
        <w:t>киснезабезпечення</w:t>
      </w:r>
      <w:proofErr w:type="spellEnd"/>
      <w:r>
        <w:rPr>
          <w:rFonts w:ascii="Times New Roman" w:hAnsi="Times New Roman"/>
          <w:sz w:val="24"/>
          <w:szCs w:val="24"/>
        </w:rPr>
        <w:t xml:space="preserve"> з джерелом медичного кисню (центральний кисневий пункт та/або киснево-</w:t>
      </w:r>
      <w:proofErr w:type="spellStart"/>
      <w:r>
        <w:rPr>
          <w:rFonts w:ascii="Times New Roman" w:hAnsi="Times New Roman"/>
          <w:sz w:val="24"/>
          <w:szCs w:val="24"/>
        </w:rPr>
        <w:t>газифікаційна</w:t>
      </w:r>
      <w:proofErr w:type="spellEnd"/>
      <w:r>
        <w:rPr>
          <w:rFonts w:ascii="Times New Roman" w:hAnsi="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апарат штучної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електроенцефалограф;</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 xml:space="preserve">ларингоскоп з набором клинків; </w:t>
      </w: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t>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 </w:t>
      </w:r>
    </w:p>
    <w:p w:rsidR="00E93A05" w:rsidRDefault="00E93A05" w:rsidP="00E93A05">
      <w:pPr>
        <w:shd w:val="clear" w:color="auto" w:fill="FFFFFF"/>
        <w:spacing w:after="0" w:line="240" w:lineRule="auto"/>
        <w:jc w:val="both"/>
        <w:rPr>
          <w:rFonts w:ascii="Times New Roman" w:hAnsi="Times New Roman"/>
          <w:sz w:val="24"/>
          <w:szCs w:val="24"/>
        </w:rPr>
      </w:pPr>
    </w:p>
    <w:p w:rsidR="00E93A05" w:rsidRDefault="00E93A05" w:rsidP="00E93A05">
      <w:pPr>
        <w:shd w:val="clear" w:color="auto" w:fill="FFFFFF"/>
        <w:spacing w:after="0" w:line="240" w:lineRule="auto"/>
        <w:jc w:val="both"/>
        <w:rPr>
          <w:rFonts w:ascii="Times New Roman" w:hAnsi="Times New Roman"/>
          <w:sz w:val="24"/>
          <w:szCs w:val="24"/>
        </w:rPr>
      </w:pPr>
      <w:r>
        <w:rPr>
          <w:rFonts w:ascii="Times New Roman" w:hAnsi="Times New Roman"/>
          <w:i/>
          <w:sz w:val="24"/>
          <w:szCs w:val="24"/>
        </w:rPr>
        <w:t>Інші вимоги:</w:t>
      </w:r>
      <w:r>
        <w:rPr>
          <w:rFonts w:ascii="Times New Roman" w:hAnsi="Times New Roman"/>
          <w:sz w:val="24"/>
          <w:szCs w:val="24"/>
        </w:rPr>
        <w:t xml:space="preserve"> </w:t>
      </w:r>
    </w:p>
    <w:p w:rsidR="00E93A05" w:rsidRDefault="00E93A05" w:rsidP="00E93A05">
      <w:pPr>
        <w:pStyle w:val="a3"/>
        <w:numPr>
          <w:ilvl w:val="0"/>
          <w:numId w:val="8"/>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Наявність ліцензії на провадження господарської діяльності з медичної практики за спеціальністю психіатрія та/або дитяча психіатрія. </w:t>
      </w:r>
    </w:p>
    <w:p w:rsidR="00E93A05" w:rsidRDefault="00E93A05" w:rsidP="00E93A05">
      <w:pPr>
        <w:pStyle w:val="a3"/>
        <w:numPr>
          <w:ilvl w:val="0"/>
          <w:numId w:val="8"/>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 </w:t>
      </w:r>
    </w:p>
    <w:p w:rsidR="00E93A05" w:rsidRDefault="00E93A05" w:rsidP="00E93A05">
      <w:pPr>
        <w:shd w:val="clear" w:color="auto" w:fill="FFFFFF"/>
        <w:spacing w:after="0" w:line="240" w:lineRule="auto"/>
        <w:jc w:val="both"/>
        <w:rPr>
          <w:rFonts w:ascii="Times New Roman" w:hAnsi="Times New Roman"/>
          <w:sz w:val="24"/>
          <w:szCs w:val="24"/>
        </w:rPr>
      </w:pPr>
    </w:p>
    <w:p w:rsidR="00E93A05" w:rsidRDefault="00E93A05" w:rsidP="00E93A05">
      <w:pPr>
        <w:shd w:val="clear" w:color="auto" w:fill="FFFFFF"/>
        <w:spacing w:after="0" w:line="240" w:lineRule="auto"/>
        <w:jc w:val="both"/>
        <w:rPr>
          <w:rFonts w:ascii="Times New Roman" w:hAnsi="Times New Roman"/>
          <w:i/>
          <w:iCs/>
          <w:sz w:val="24"/>
          <w:szCs w:val="24"/>
        </w:rPr>
      </w:pPr>
      <w:r>
        <w:rPr>
          <w:rFonts w:ascii="Times New Roman" w:hAnsi="Times New Roman"/>
          <w:i/>
          <w:iCs/>
          <w:sz w:val="24"/>
          <w:szCs w:val="24"/>
        </w:rPr>
        <w:t xml:space="preserve">Додаткові вимоги до інших вимог: </w:t>
      </w:r>
    </w:p>
    <w:p w:rsidR="00E93A05" w:rsidRDefault="00E93A05" w:rsidP="00E93A05">
      <w:pPr>
        <w:pStyle w:val="a3"/>
        <w:numPr>
          <w:ilvl w:val="0"/>
          <w:numId w:val="9"/>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Наявність ліцензії на провадження господарської діяльності з медичної практики за спеціальністю анестезіологія та/або дитяча анестезіологія.</w:t>
      </w:r>
    </w:p>
    <w:p w:rsidR="00E93A05" w:rsidRDefault="00E93A05" w:rsidP="00E93A05">
      <w:pPr>
        <w:shd w:val="clear" w:color="auto" w:fill="FFFFFF"/>
        <w:spacing w:after="0" w:line="240" w:lineRule="auto"/>
        <w:jc w:val="both"/>
        <w:rPr>
          <w:rFonts w:ascii="Times New Roman" w:hAnsi="Times New Roman"/>
          <w:sz w:val="24"/>
          <w:szCs w:val="24"/>
          <w:highlight w:val="white"/>
        </w:rPr>
      </w:pPr>
    </w:p>
    <w:p w:rsidR="00D55A50" w:rsidRDefault="00D55A50">
      <w:bookmarkStart w:id="0" w:name="_GoBack"/>
      <w:bookmarkEnd w:id="0"/>
    </w:p>
    <w:sectPr w:rsidR="00D55A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639D"/>
    <w:multiLevelType w:val="hybridMultilevel"/>
    <w:tmpl w:val="DBEEB1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6F81B78"/>
    <w:multiLevelType w:val="hybridMultilevel"/>
    <w:tmpl w:val="DD0E01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2F2BBC"/>
    <w:multiLevelType w:val="hybridMultilevel"/>
    <w:tmpl w:val="6DACD868"/>
    <w:lvl w:ilvl="0" w:tplc="074A2500">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39CF6F39"/>
    <w:multiLevelType w:val="hybridMultilevel"/>
    <w:tmpl w:val="21F28A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DE5804"/>
    <w:multiLevelType w:val="hybridMultilevel"/>
    <w:tmpl w:val="3C86360E"/>
    <w:lvl w:ilvl="0" w:tplc="04220019">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5DFF508E"/>
    <w:multiLevelType w:val="hybridMultilevel"/>
    <w:tmpl w:val="5A9A40A2"/>
    <w:lvl w:ilvl="0" w:tplc="535663AA">
      <w:start w:val="4"/>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E2D2EA5"/>
    <w:multiLevelType w:val="hybridMultilevel"/>
    <w:tmpl w:val="123495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27F5E3A"/>
    <w:multiLevelType w:val="hybridMultilevel"/>
    <w:tmpl w:val="A5206F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FD27C66"/>
    <w:multiLevelType w:val="hybridMultilevel"/>
    <w:tmpl w:val="B79EA8E8"/>
    <w:lvl w:ilvl="0" w:tplc="04220019">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num>
  <w:num w:numId="2">
    <w:abstractNumId w:val="4"/>
  </w:num>
  <w:num w:numId="3">
    <w:abstractNumId w:val="8"/>
  </w:num>
  <w:num w:numId="4">
    <w:abstractNumId w:val="5"/>
  </w:num>
  <w:num w:numId="5">
    <w:abstractNumId w:val="0"/>
  </w:num>
  <w:num w:numId="6">
    <w:abstractNumId w:val="7"/>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05"/>
    <w:rsid w:val="00D55A50"/>
    <w:rsid w:val="00E93A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642D1-0A17-45C1-8A62-E5EE6DD8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3A05"/>
    <w:rPr>
      <w:rFonts w:ascii="Calibri" w:eastAsia="Times New Roman" w:hAnsi="Calibri" w:cs="Times New Roman"/>
      <w:lang w:eastAsia="uk-UA"/>
    </w:rPr>
  </w:style>
  <w:style w:type="paragraph" w:styleId="2">
    <w:name w:val="heading 2"/>
    <w:basedOn w:val="a"/>
    <w:next w:val="a"/>
    <w:link w:val="20"/>
    <w:uiPriority w:val="9"/>
    <w:unhideWhenUsed/>
    <w:qFormat/>
    <w:rsid w:val="00E93A05"/>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3A05"/>
    <w:rPr>
      <w:rFonts w:ascii="Calibri" w:eastAsia="Times New Roman" w:hAnsi="Calibri" w:cs="Times New Roman"/>
      <w:b/>
      <w:sz w:val="36"/>
      <w:szCs w:val="36"/>
      <w:lang w:eastAsia="uk-UA"/>
    </w:rPr>
  </w:style>
  <w:style w:type="paragraph" w:styleId="a3">
    <w:name w:val="List Paragraph"/>
    <w:basedOn w:val="a"/>
    <w:qFormat/>
    <w:rsid w:val="00E93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9047</Words>
  <Characters>5157</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2024-07-30T15:24:00Z</dcterms:created>
  <dcterms:modified xsi:type="dcterms:W3CDTF">2024-07-30T15:24:00Z</dcterms:modified>
</cp:coreProperties>
</file>