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10" w:rsidRDefault="00F46510"/>
    <w:p w:rsidR="00F46510" w:rsidRDefault="006B6E4C">
      <w:pPr>
        <w:shd w:val="clear" w:color="auto" w:fill="FFFFFF"/>
        <w:spacing w:before="480" w:after="0" w:line="240" w:lineRule="auto"/>
        <w:ind w:left="70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</w:rPr>
        <w:t>24.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</w:rPr>
        <w:t>МОБІЛЬНА ПАЛІАТИВНА МЕДИЧНА ДОПОМОГА ДОРОСЛИМ І ДІТЯМ</w:t>
      </w:r>
      <w:bookmarkEnd w:id="0"/>
    </w:p>
    <w:p w:rsidR="00F46510" w:rsidRDefault="006B6E4C">
      <w:pP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F46510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F46510" w:rsidRDefault="006B6E4C">
      <w:pPr>
        <w:numPr>
          <w:ilvl w:val="0"/>
          <w:numId w:val="13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highlight w:val="white"/>
        </w:rPr>
        <w:t>Проведення оцінки стану пацієнта/пацієнтки відповідно до кри</w:t>
      </w:r>
      <w:r>
        <w:rPr>
          <w:rFonts w:ascii="Times New Roman" w:eastAsia="Times New Roman" w:hAnsi="Times New Roman" w:cs="Times New Roman"/>
          <w:highlight w:val="white"/>
        </w:rPr>
        <w:t>теріїв визначення пацієнта, що потребує паліативної допомоги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:rsidR="00F46510" w:rsidRDefault="006B6E4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Оцінка соматичного стану пацієнта/пацієнтки та моніторинг порушень функцій </w:t>
      </w:r>
      <w:proofErr w:type="spellStart"/>
      <w:r>
        <w:rPr>
          <w:rFonts w:ascii="Times New Roman" w:eastAsia="Times New Roman" w:hAnsi="Times New Roman" w:cs="Times New Roman"/>
        </w:rPr>
        <w:t>життєво</w:t>
      </w:r>
      <w:proofErr w:type="spellEnd"/>
      <w:r>
        <w:rPr>
          <w:rFonts w:ascii="Times New Roman" w:eastAsia="Times New Roman" w:hAnsi="Times New Roman" w:cs="Times New Roman"/>
        </w:rPr>
        <w:t xml:space="preserve"> важливих органів і систем із подальшим переглядом та коригуванням при необхідності плану спостереження пацієнта</w:t>
      </w:r>
      <w:r>
        <w:rPr>
          <w:rFonts w:ascii="Times New Roman" w:eastAsia="Times New Roman" w:hAnsi="Times New Roman" w:cs="Times New Roman"/>
        </w:rPr>
        <w:t>/пацієнтки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46510" w:rsidRDefault="006B6E4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Складання плану спостереження пацієнта/пацієнтки, який охоплює фізичні, психологічні, емоційні, соціальні та духовні потреби пацієнта та узгоджені цілі. </w:t>
      </w:r>
    </w:p>
    <w:p w:rsidR="00F46510" w:rsidRDefault="006B6E4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Надання </w:t>
      </w:r>
      <w:r>
        <w:rPr>
          <w:rFonts w:ascii="Times New Roman" w:eastAsia="Times New Roman" w:hAnsi="Times New Roman" w:cs="Times New Roman"/>
        </w:rPr>
        <w:t>спеціалізованої</w:t>
      </w:r>
      <w:r>
        <w:rPr>
          <w:rFonts w:ascii="Times New Roman" w:eastAsia="Times New Roman" w:hAnsi="Times New Roman" w:cs="Times New Roman"/>
          <w:color w:val="000000"/>
        </w:rPr>
        <w:t xml:space="preserve"> паліативної медичної допомоги за місцем перебування пацієнта, зокр</w:t>
      </w:r>
      <w:r>
        <w:rPr>
          <w:rFonts w:ascii="Times New Roman" w:eastAsia="Times New Roman" w:hAnsi="Times New Roman" w:cs="Times New Roman"/>
          <w:color w:val="000000"/>
        </w:rPr>
        <w:t>ема, зі створенням стаціонару вдома за потреби, та/або з використанням засобів телекомунікації, спрямованої на оптимізацію стану пацієнта, його функціонування та якості життя, таким групам пацієнтів: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а.   пацієнтам старше 65 років зі значними психічними чи</w:t>
      </w:r>
      <w:r>
        <w:rPr>
          <w:rFonts w:ascii="Times New Roman" w:eastAsia="Times New Roman" w:hAnsi="Times New Roman" w:cs="Times New Roman"/>
          <w:color w:val="000000"/>
        </w:rPr>
        <w:t xml:space="preserve"> поведінковими розладами, спричиненими психічним захворюванням, віковим органічним ураженням мозку або фізичним станом;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b.   пацієнтам з комплексними потребами, зумовленими захворюваннями, пов’язаними зі старінням.</w:t>
      </w:r>
    </w:p>
    <w:p w:rsidR="00F46510" w:rsidRDefault="006B6E4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Оцінювання (за допомогою методів, що відп</w:t>
      </w:r>
      <w:r>
        <w:rPr>
          <w:rFonts w:ascii="Times New Roman" w:eastAsia="Times New Roman" w:hAnsi="Times New Roman" w:cs="Times New Roman"/>
          <w:color w:val="000000"/>
        </w:rPr>
        <w:t>овідають психосоматичним особливостям пацієнта/пацієнтки) хронічного больового синдрому та його запобігання, лікування і контроль (зокрема, призначення та виписка рецептів на наркотичні засоби, психотропні речовини та прекурсори, ненаркотичні знеболювальні</w:t>
      </w:r>
      <w:r>
        <w:rPr>
          <w:rFonts w:ascii="Times New Roman" w:eastAsia="Times New Roman" w:hAnsi="Times New Roman" w:cs="Times New Roman"/>
          <w:color w:val="000000"/>
        </w:rPr>
        <w:t xml:space="preserve"> засоби та проведення знеболення).</w:t>
      </w:r>
    </w:p>
    <w:p w:rsidR="00F46510" w:rsidRDefault="006B6E4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Оцінка та корекція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нутриційного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статусу.       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F46510" w:rsidRDefault="006B6E4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Забір, транспортування біологічного матеріалу до лабораторії закладу охорони здоров’я (ЗОЗ) або ЗОЗ, з яким укладено договір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підряду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для  проведення таких лабораторних досліджень, зокрема:</w:t>
      </w:r>
    </w:p>
    <w:p w:rsidR="00F46510" w:rsidRDefault="006B6E4C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        </w:t>
      </w:r>
      <w:r>
        <w:rPr>
          <w:rFonts w:ascii="Times New Roman" w:eastAsia="Times New Roman" w:hAnsi="Times New Roman" w:cs="Times New Roman"/>
          <w:color w:val="000000"/>
        </w:rPr>
        <w:t>розгорнутий клінічний аналіз крові;</w:t>
      </w:r>
    </w:p>
    <w:p w:rsidR="00F46510" w:rsidRDefault="006B6E4C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    </w:t>
      </w:r>
      <w:r>
        <w:rPr>
          <w:rFonts w:ascii="Times New Roman" w:eastAsia="Times New Roman" w:hAnsi="Times New Roman" w:cs="Times New Roman"/>
          <w:color w:val="000000"/>
        </w:rPr>
        <w:t>глюкоза в цільній крові;</w:t>
      </w:r>
    </w:p>
    <w:p w:rsidR="00F46510" w:rsidRDefault="006B6E4C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        </w:t>
      </w:r>
      <w:r>
        <w:rPr>
          <w:rFonts w:ascii="Times New Roman" w:eastAsia="Times New Roman" w:hAnsi="Times New Roman" w:cs="Times New Roman"/>
          <w:color w:val="000000"/>
        </w:rPr>
        <w:t>загальний аналіз сечі;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Видача направлення та/або забір, транспортування біологічних матеріалів для проведення інших лабораторних досліджень відповідно до галузевих стандартів.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Проведення необхідних інструментальних обстежень, зокрема електрокардіографії, за місцем перебування пацієнта/пацієнтки (за можливості) та/або у ЗОЗ, на умовах оренди,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підряду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інших умов  користування відповідного обладнання. 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Забезпечення, контроль сим</w:t>
      </w:r>
      <w:r>
        <w:rPr>
          <w:rFonts w:ascii="Times New Roman" w:eastAsia="Times New Roman" w:hAnsi="Times New Roman" w:cs="Times New Roman"/>
          <w:color w:val="000000"/>
        </w:rPr>
        <w:t>птоматичної терапії та догляду.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Оцінка та визначення потреб пацієнта/пацієнтки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асистивних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засобах для мобільності (можливості пересування пацієнта/пацієнтки та здійснення туалету). 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 лікарськими засобами відповідно до Національного переліку о</w:t>
      </w:r>
      <w:r>
        <w:rPr>
          <w:rFonts w:ascii="Times New Roman" w:eastAsia="Times New Roman" w:hAnsi="Times New Roman" w:cs="Times New Roman"/>
          <w:color w:val="000000"/>
        </w:rPr>
        <w:t>сновних лікарських засобів, медичними виробами та розхідними матеріалами під час візиту команди до пацієнта/пацієнтки за місцем його/її перебування.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Направлення пацієнта/пацієнтки для отримання спеціалізованої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медичної допомоги за згодою пацієнта/пацієнтки</w:t>
      </w:r>
      <w:r>
        <w:rPr>
          <w:rFonts w:ascii="Times New Roman" w:eastAsia="Times New Roman" w:hAnsi="Times New Roman" w:cs="Times New Roman"/>
          <w:color w:val="000000"/>
        </w:rPr>
        <w:t xml:space="preserve"> та його/її законних представників за потреби.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Надання невідкладної медичної допомоги пацієнту/пацієнтці при виникненні станів, що загрожують життю, під час відвідування, а також виклик бригади екстреної (швидкої) медичної допомоги ( за потреби ) та наданн</w:t>
      </w:r>
      <w:r>
        <w:rPr>
          <w:rFonts w:ascii="Times New Roman" w:eastAsia="Times New Roman" w:hAnsi="Times New Roman" w:cs="Times New Roman"/>
          <w:color w:val="000000"/>
        </w:rPr>
        <w:t>я невідкладної медичної допомоги до її прибуття.</w:t>
      </w:r>
    </w:p>
    <w:p w:rsidR="00F46510" w:rsidRDefault="006B6E4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Навчання членів родин пацієнта/пацієнтки (законних представників та осіб, які здійснюють догляд) навичкам догляду за паліативними пацієнтами/пацієнтками.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F46510" w:rsidRDefault="006B6E4C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Додаткові вимоги до обсягу медичних послуг, який на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давач зобов’язується надавати за договором відповідно до медичних потреб пацієнта/пацієнтки (специфікація):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6B6E4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Проведення оцінки стану пацієнта/пацієнтки на всіх фазах (стабільній, нестабільній, погіршення, термінальній) паліативної допомоги щодо визначення його/її фізичних, когнітивних, психосоціальних та інших обмежень.</w:t>
      </w:r>
    </w:p>
    <w:p w:rsidR="00F46510" w:rsidRDefault="006B6E4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Забір, транспортування біологічного матеріа</w:t>
      </w:r>
      <w:r>
        <w:rPr>
          <w:rFonts w:ascii="Times New Roman" w:eastAsia="Times New Roman" w:hAnsi="Times New Roman" w:cs="Times New Roman"/>
          <w:color w:val="000000"/>
        </w:rPr>
        <w:t xml:space="preserve">лу до лабораторії закладу охорони здоров’я (ЗОЗ) або ЗОЗ, з яким укладено договір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підряду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для  проведення таких лабораторних досліджень, зокрема:</w:t>
      </w:r>
    </w:p>
    <w:p w:rsidR="00F46510" w:rsidRDefault="006B6E4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біохімічний аналіз крові (загальний білок, альфа-амілаза,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аспартатамінотрансфераза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АсАТ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аланінамінотрансфе</w:t>
      </w:r>
      <w:r>
        <w:rPr>
          <w:rFonts w:ascii="Times New Roman" w:eastAsia="Times New Roman" w:hAnsi="Times New Roman" w:cs="Times New Roman"/>
          <w:color w:val="000000"/>
        </w:rPr>
        <w:t>раза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АлАТ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білірубін і його фракції (загальний, прямий, непрямий), креатинін, сечовина, сечова кислота; електроліти: калій, хлор, натрій, магній), С-реактивний білок; </w:t>
      </w:r>
    </w:p>
    <w:p w:rsidR="00F46510" w:rsidRDefault="006B6E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бактеріологічні дослідження;</w:t>
      </w:r>
    </w:p>
    <w:p w:rsidR="00F46510" w:rsidRDefault="006B6E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інші лабораторні дослідження відповідно до галузевих стан</w:t>
      </w:r>
      <w:r>
        <w:rPr>
          <w:rFonts w:ascii="Times New Roman" w:eastAsia="Times New Roman" w:hAnsi="Times New Roman" w:cs="Times New Roman"/>
          <w:color w:val="000000"/>
        </w:rPr>
        <w:t>дартів.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Проведення необхідних інструментальних обстежень за місцем перебування пацієнта/пацієнтки.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Надання спеціалізованої паліативної допомоги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мультидисциплінарною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командою за місцем перебування пацієнта/пацієнтки з метою оптимізації стану його/її здоров’</w:t>
      </w:r>
      <w:r>
        <w:rPr>
          <w:rFonts w:ascii="Times New Roman" w:eastAsia="Times New Roman" w:hAnsi="Times New Roman" w:cs="Times New Roman"/>
          <w:color w:val="000000"/>
        </w:rPr>
        <w:t>я, функціонування та якості життя.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Забезпечення координації, доступності, планування, безперервності та наступності відповідно до побажань пацієнтів щодо вибору місця лікування та місця смерті із забезпеченням за потребою можливості одночасного отримання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>уративного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лікування та паліативної допомоги.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Спостереження та контроль за пацієнтом/пацієнткою, який/яка перебуває на кисневій терапії та/або респіраторній підтримці вдома.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Введення лікарських засобів пацієнтам з рідкісними захворюваннями в домашніх умова</w:t>
      </w:r>
      <w:r>
        <w:rPr>
          <w:rFonts w:ascii="Times New Roman" w:eastAsia="Times New Roman" w:hAnsi="Times New Roman" w:cs="Times New Roman"/>
          <w:color w:val="000000"/>
        </w:rPr>
        <w:t>х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infusion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:rsidR="00F46510" w:rsidRDefault="006B6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 лікарськими засобами відповідно до Національного переліку основних лікарських засобів, зокрема, наркотичними засобами, медичними виробами та розхідними матеріалами під час візиту команди до пацієнта/пацієнтки за місцем його/</w:t>
      </w:r>
      <w:r>
        <w:rPr>
          <w:rFonts w:ascii="Times New Roman" w:eastAsia="Times New Roman" w:hAnsi="Times New Roman" w:cs="Times New Roman"/>
          <w:color w:val="000000"/>
        </w:rPr>
        <w:t>її перебування.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6B6E4C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МОБІЛЬНА ПАЛІАТИВНА МЕДИЧНА ДОПОМОГА ДОРОСЛИМ І ДІТЯМ</w:t>
      </w:r>
    </w:p>
    <w:p w:rsidR="00F46510" w:rsidRDefault="006B6E4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Умови закупівлі медичних послуг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Умови надання послуги</w:t>
      </w:r>
      <w:r>
        <w:rPr>
          <w:rFonts w:ascii="Times New Roman" w:eastAsia="Times New Roman" w:hAnsi="Times New Roman" w:cs="Times New Roman"/>
          <w:color w:val="000000"/>
        </w:rPr>
        <w:t>: за місцем перебування пацієнта/пацієнтки та з використанням засобів телекомунікації.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Підстави надання послуги: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6B6E4C">
      <w:pPr>
        <w:shd w:val="clear" w:color="auto" w:fill="FFFFFF"/>
        <w:spacing w:after="0" w:line="240" w:lineRule="auto"/>
        <w:ind w:left="7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</w:rPr>
        <w:t xml:space="preserve">направлення лікаря з надання ПМД, якого обрано за декларацією про вибір лікаря або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>
        <w:rPr>
          <w:rFonts w:ascii="Times New Roman" w:eastAsia="Times New Roman" w:hAnsi="Times New Roman" w:cs="Times New Roman"/>
          <w:color w:val="000000"/>
        </w:rPr>
        <w:t>направлення лікуючого лікаря або переведення з іншого ЗОЗ/клінічного підрозділу ЗОЗ під нагляд спеціалістів паліативної служби</w:t>
      </w:r>
    </w:p>
    <w:p w:rsidR="00F46510" w:rsidRDefault="006B6E4C">
      <w:pPr>
        <w:shd w:val="clear" w:color="auto" w:fill="FFFFFF"/>
        <w:spacing w:after="0" w:line="240" w:lineRule="auto"/>
        <w:ind w:left="7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пацієнта, який має 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Вимоги до орган</w:t>
      </w:r>
      <w:r>
        <w:rPr>
          <w:rFonts w:ascii="Times New Roman" w:eastAsia="Times New Roman" w:hAnsi="Times New Roman" w:cs="Times New Roman"/>
          <w:i/>
          <w:color w:val="000000"/>
        </w:rPr>
        <w:t>ізації надання послуги: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Наявність створеної за наказом керівника ЗОЗ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мультидисциплінарної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команди для надання послуг з паліативної допомоги.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Наявність транспортного засобу для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доїзду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до пацієнтів.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Забезпечення оцінювання стану пацієнта/пацієнт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ки та рівня важкості моторних (фізичних) та когнітивних обмежень за шкалою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Бартела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Activities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Daily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Living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(ADL), індексом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Карновського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шкалою потреби у наданні паліативної допомоги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Palliative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Perfomance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Scale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PPS), шкалою оцінки загального стану он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кологічного хворого за шкалою ECOG.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 оцінювання болю за спеціалізованими шкалами, здійснення заходів щодо запобігання розвитку хронічного больового синдрому.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 забору, транспортування біологічного матеріалу до лабораторії закладу охо</w:t>
      </w:r>
      <w:r>
        <w:rPr>
          <w:rFonts w:ascii="Times New Roman" w:eastAsia="Times New Roman" w:hAnsi="Times New Roman" w:cs="Times New Roman"/>
          <w:color w:val="000000"/>
        </w:rPr>
        <w:t xml:space="preserve">рони здоров’я (ЗОЗ) або ЗОЗ, з яким укладено договір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підряду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для  проведення лабораторних досліджень, визначених специфікаціями.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Забезпечення проведення інструментальних обстежень, зокрема електрокардіографії, за місцем перебування пацієнта/пацієнтки (за </w:t>
      </w:r>
      <w:r>
        <w:rPr>
          <w:rFonts w:ascii="Times New Roman" w:eastAsia="Times New Roman" w:hAnsi="Times New Roman" w:cs="Times New Roman"/>
          <w:color w:val="000000"/>
        </w:rPr>
        <w:t xml:space="preserve">можливості) та/або у ЗОЗ, на умовах оренди,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підряду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інших умов  користування відповідного обладнання у ЗОЗ.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Наявність затвердженого маршруту пацієнтів щодо їх госпіталізації  до відповідного відділення або  іншого відділення ЗОЗ для надання паліативної </w:t>
      </w:r>
      <w:r>
        <w:rPr>
          <w:rFonts w:ascii="Times New Roman" w:eastAsia="Times New Roman" w:hAnsi="Times New Roman" w:cs="Times New Roman"/>
          <w:color w:val="000000"/>
        </w:rPr>
        <w:t>та/або  медичної допомоги за іншими напрямами (за потреби). </w:t>
      </w:r>
    </w:p>
    <w:p w:rsidR="00F46510" w:rsidRDefault="006B6E4C">
      <w:pPr>
        <w:numPr>
          <w:ilvl w:val="0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Надання спеціалізованої паліативної медичної допомоги за місцем перебування пацієнта, зокрема, зі створенням стаціонару вдома за потреби, та/або з використанням засобів телекомунікації, спрямованої на оптимізацію стану пацієнта, його функціонування та якос</w:t>
      </w:r>
      <w:r>
        <w:rPr>
          <w:rFonts w:ascii="Times New Roman" w:eastAsia="Times New Roman" w:hAnsi="Times New Roman" w:cs="Times New Roman"/>
          <w:color w:val="000000"/>
        </w:rPr>
        <w:t>ті життя, таким групам пацієнтів: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а.   пацієнтам старше 65 років зі значними психічними чи поведінковими розладами, спричиненими психічним захворюванням, віковим органічним ураженням мозку або фізичним станом;</w:t>
      </w:r>
    </w:p>
    <w:p w:rsidR="00F46510" w:rsidRDefault="006B6E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b.   пацієнтам з комплексними потребами, зумов</w:t>
      </w:r>
      <w:r>
        <w:rPr>
          <w:rFonts w:ascii="Times New Roman" w:eastAsia="Times New Roman" w:hAnsi="Times New Roman" w:cs="Times New Roman"/>
          <w:color w:val="000000"/>
        </w:rPr>
        <w:t>леними захворюваннями, пов’язаними зі старінням, такими як схильність до падінь, нетримання сечі, обмежена рухливість і когнітивні порушення.</w:t>
      </w:r>
    </w:p>
    <w:p w:rsidR="00F46510" w:rsidRDefault="006B6E4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Забезпечення координації, доступності, планування, безперервності та наступності відповідно до побажань пацієнтів </w:t>
      </w:r>
      <w:r>
        <w:rPr>
          <w:rFonts w:ascii="Times New Roman" w:eastAsia="Times New Roman" w:hAnsi="Times New Roman" w:cs="Times New Roman"/>
          <w:color w:val="000000"/>
        </w:rPr>
        <w:t>щодо вибору місця лікування та місця смерті.</w:t>
      </w:r>
    </w:p>
    <w:p w:rsidR="00F46510" w:rsidRDefault="006B6E4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Забезпечення постійного контакту з пацієнтами:</w:t>
      </w:r>
    </w:p>
    <w:p w:rsidR="00F46510" w:rsidRDefault="006B6E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мінімальна кількість взаємодій за допомогою засобів телекомунікації – не менше 1 разу на тиждень з обов’язковим створенням медичного запису про медичний огляд, нада</w:t>
      </w:r>
      <w:r>
        <w:rPr>
          <w:rFonts w:ascii="Times New Roman" w:eastAsia="Times New Roman" w:hAnsi="Times New Roman" w:cs="Times New Roman"/>
          <w:color w:val="000000"/>
        </w:rPr>
        <w:t>ння консультації або лікування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:rsidR="00F46510" w:rsidRDefault="006B6E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мінімальна кількість відвідувань – не менше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ніж 4 рази</w:t>
      </w:r>
      <w:r>
        <w:rPr>
          <w:rFonts w:ascii="Times New Roman" w:eastAsia="Times New Roman" w:hAnsi="Times New Roman" w:cs="Times New Roman"/>
          <w:color w:val="000000"/>
        </w:rPr>
        <w:t xml:space="preserve"> на місяць.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Взаємодія з іншими надавачами медичних послуг, центрами соціальних служб для сім'ї, дітей та молоді, службами у справах дітей, територіальними центрами соціал</w:t>
      </w:r>
      <w:r>
        <w:rPr>
          <w:rFonts w:ascii="Times New Roman" w:eastAsia="Times New Roman" w:hAnsi="Times New Roman" w:cs="Times New Roman"/>
          <w:color w:val="000000"/>
        </w:rPr>
        <w:t>ьного обслуговування населення, іншими надавачами соціальних послуг, зокрема, неурядовими та благодійними організаціями, правоохоронними органами, підприємствами, установами та організаціями, засобами масової інформації, органами місцевого самоврядування н</w:t>
      </w:r>
      <w:r>
        <w:rPr>
          <w:rFonts w:ascii="Times New Roman" w:eastAsia="Times New Roman" w:hAnsi="Times New Roman" w:cs="Times New Roman"/>
          <w:color w:val="000000"/>
        </w:rPr>
        <w:t>а території обслуговування в інтересах своєчасного та ефективного надання допомоги пацієнтам. 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Обов’язкове інформування пацієнтів, або законного представника, щодо можливості отримання інших необхідних медичних послуг безоплатно за рахунок коштів програми </w:t>
      </w:r>
      <w:r>
        <w:rPr>
          <w:rFonts w:ascii="Times New Roman" w:eastAsia="Times New Roman" w:hAnsi="Times New Roman" w:cs="Times New Roman"/>
          <w:color w:val="000000"/>
        </w:rPr>
        <w:t>медичних гарантій.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Інформування пацієнтів щодо можливостей профілактики ускладнень та лікування, залучення до ухвалення рішень щодо їх здоров'я, узгодження плану лікування з пацієнтами відповідно до їх очікувань та можливостей.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Наявність плану дій з профілактики інфекцій та інфекційного контролю та стандартних операційних процедур, відповідно до чинного законодавства.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Наявність плану протиепідемічної готовності/реагування на випадок виявлення особливо небезпечних інфекційних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хвор</w:t>
      </w:r>
      <w:r>
        <w:rPr>
          <w:rFonts w:ascii="Times New Roman" w:eastAsia="Times New Roman" w:hAnsi="Times New Roman" w:cs="Times New Roman"/>
          <w:color w:val="000000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Наявність затвердженої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</w:t>
      </w:r>
      <w:r>
        <w:rPr>
          <w:rFonts w:ascii="Times New Roman" w:eastAsia="Times New Roman" w:hAnsi="Times New Roman" w:cs="Times New Roman"/>
          <w:color w:val="000000"/>
        </w:rPr>
        <w:t xml:space="preserve"> критеріїв доступності, якості, безпеки надання медичної допомоги за напрямом її надання, ефективного контролю та управління якістю надавача медичних послуг для </w:t>
      </w:r>
      <w:r>
        <w:rPr>
          <w:rFonts w:ascii="Times New Roman" w:eastAsia="Times New Roman" w:hAnsi="Times New Roman" w:cs="Times New Roman"/>
          <w:color w:val="000000"/>
        </w:rPr>
        <w:lastRenderedPageBreak/>
        <w:t>забезпечення прав пацієнтів на отримання медичної допомоги необхідного обсягу та належної якост</w:t>
      </w:r>
      <w:r>
        <w:rPr>
          <w:rFonts w:ascii="Times New Roman" w:eastAsia="Times New Roman" w:hAnsi="Times New Roman" w:cs="Times New Roman"/>
          <w:color w:val="000000"/>
        </w:rPr>
        <w:t>і.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Здійснення закупівлі лікарських засобів,  визначених Національним переліком основних лікарських засобів,   медичних виробів та витратних матеріалів, необхідних для надання медичної допомоги відповідно до галузевих стандартів у сфері охорони здоров’я. 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рганізація ефективного управління запасами лікарських засобів, медичних виробів та витратних матеріалів, закуплених ЗОЗ або отриманих шляхом централізованих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МОЗ. Використання та збереження залишків лікарських засобів та медичних виробів, необхід</w:t>
      </w:r>
      <w:r>
        <w:rPr>
          <w:rFonts w:ascii="Times New Roman" w:eastAsia="Times New Roman" w:hAnsi="Times New Roman" w:cs="Times New Roman"/>
          <w:color w:val="000000"/>
        </w:rPr>
        <w:t>них для лікування пацієнтів, зокрема, після закінчення дії договору з НСЗУ.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Дотримання вимог законодавства у сфері протидії насильству, зокрема, виявлення ознак насильства у  пацієнтів та повідомлення відповідних служб згідно із затвердженим законодавством</w:t>
      </w:r>
      <w:r>
        <w:rPr>
          <w:rFonts w:ascii="Times New Roman" w:eastAsia="Times New Roman" w:hAnsi="Times New Roman" w:cs="Times New Roman"/>
          <w:color w:val="000000"/>
        </w:rPr>
        <w:t>. </w:t>
      </w:r>
    </w:p>
    <w:p w:rsidR="00F46510" w:rsidRDefault="006B6E4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свобод, Конвенції про права осіб з інвалідністю, Конвенції про пра</w:t>
      </w:r>
      <w:r>
        <w:rPr>
          <w:rFonts w:ascii="Times New Roman" w:eastAsia="Times New Roman" w:hAnsi="Times New Roman" w:cs="Times New Roman"/>
          <w:color w:val="000000"/>
        </w:rPr>
        <w:t>ва дитини та інших міжнародних договорів, ратифікованих Україною.</w:t>
      </w:r>
    </w:p>
    <w:p w:rsidR="00F46510" w:rsidRDefault="00F4651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highlight w:val="white"/>
        </w:rPr>
      </w:pPr>
    </w:p>
    <w:p w:rsidR="00F46510" w:rsidRDefault="006B6E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Додаткові вимоги до організації надання послуги:</w:t>
      </w:r>
    </w:p>
    <w:p w:rsidR="00F46510" w:rsidRDefault="006B6E4C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Забезпечення лікування хронічного больового синдрому (зокрема, з використанням наркотичних засобів, психотропних речовин та прекурсорів)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46510" w:rsidRDefault="006B6E4C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Забезпечення надання  спеціалізованої паліативної допомоги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мультидисциплінарною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командою за місцем перебування пацієнта/пацієнтки з метою оптимізації стану його/її здоров’я, функціонування та якості життя.</w:t>
      </w:r>
    </w:p>
    <w:p w:rsidR="00F46510" w:rsidRDefault="006B6E4C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Забезпечення координації, доступності, п</w:t>
      </w:r>
      <w:r>
        <w:rPr>
          <w:rFonts w:ascii="Times New Roman" w:eastAsia="Times New Roman" w:hAnsi="Times New Roman" w:cs="Times New Roman"/>
          <w:color w:val="000000"/>
        </w:rPr>
        <w:t xml:space="preserve">ланування, безперервності та наступності відповідно до побажань пацієнтів щодо вибору місця лікування та місця смерті із забезпеченням за потребою можливості одночасного отримання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куративного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лікування та паліативної допомоги.</w:t>
      </w:r>
    </w:p>
    <w:p w:rsidR="00F46510" w:rsidRDefault="006B6E4C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Спостереження та контроль</w:t>
      </w:r>
      <w:r>
        <w:rPr>
          <w:rFonts w:ascii="Times New Roman" w:eastAsia="Times New Roman" w:hAnsi="Times New Roman" w:cs="Times New Roman"/>
          <w:color w:val="000000"/>
        </w:rPr>
        <w:t xml:space="preserve"> за пацієнтом/пацієнткою, який/яка перебуває на кисневій терапії та/або респіраторній підтримці вдома.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Вимоги до спеціалістів та кількості фахівців, які працюють на посадах:</w:t>
      </w:r>
    </w:p>
    <w:p w:rsidR="00F46510" w:rsidRDefault="006B6E4C">
      <w:pPr>
        <w:shd w:val="clear" w:color="auto" w:fill="FFFFFF"/>
        <w:spacing w:after="0" w:line="240" w:lineRule="auto"/>
        <w:ind w:left="7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</w:rPr>
        <w:t>За місцем надання медичних послуг: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    </w:t>
      </w:r>
      <w:r>
        <w:rPr>
          <w:rFonts w:ascii="Times New Roman" w:eastAsia="Times New Roman" w:hAnsi="Times New Roman" w:cs="Times New Roman"/>
          <w:color w:val="000000"/>
        </w:rPr>
        <w:t xml:space="preserve">Лікар-акушер-гінеколог </w:t>
      </w:r>
      <w:r>
        <w:rPr>
          <w:rFonts w:ascii="Times New Roman" w:eastAsia="Times New Roman" w:hAnsi="Times New Roman" w:cs="Times New Roman"/>
          <w:color w:val="000000"/>
        </w:rPr>
        <w:t>та/або лікар-гінеколог дитячого та підліткового віку, та/або лікар-анестезіолог, та/або лікар-анестезіолог дитячий, та/або лікар-гастроентеролог, та/або лікар-гастроентеролог дитячий, та/або лікар-гематолог, та/або лікар-гематолог дитячий,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та/або лікар-гем</w:t>
      </w:r>
      <w:r>
        <w:rPr>
          <w:rFonts w:ascii="Times New Roman" w:eastAsia="Times New Roman" w:hAnsi="Times New Roman" w:cs="Times New Roman"/>
          <w:color w:val="000000"/>
        </w:rPr>
        <w:t>атолог-онколог дитячий, та/або лікар-кардіолог, та/або лікар-кардіолог дитячий, та/або лікар-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кардіоревматолог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дитячий, та/або лікар-невропатолог, та/або лікар-невролог дитячий, та/або лікар-нефролог, та/або лікар-нефролог дитячий, та/або лікар-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пульмонолог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та/або лікар-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пульмонолог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дитячий, та/або лікар-терапевт, та/або лікар загальної практики – сімейний лікар, та/або лікар-педіатр, та/або лікар-фізіотерапевт, та/або лікар-гінеколог-онколог, та/або лікар-хірург, та/або лікар-хірург дитячий, та/або лікар-хір</w:t>
      </w:r>
      <w:r>
        <w:rPr>
          <w:rFonts w:ascii="Times New Roman" w:eastAsia="Times New Roman" w:hAnsi="Times New Roman" w:cs="Times New Roman"/>
          <w:color w:val="000000"/>
        </w:rPr>
        <w:t>ург-онколог, та/або лікар-уролог, та/або лікар-уролог дитячий,  та/або лікар-нейрохірург, та/або лікар-нейрохірург дитячий, та/або лікар-онколог, та/або лікар-онколог дитячий, та/або лікар-отоларинголог-онколог, та/або лікар-отоларинголог, та/або лікар-ото</w:t>
      </w:r>
      <w:r>
        <w:rPr>
          <w:rFonts w:ascii="Times New Roman" w:eastAsia="Times New Roman" w:hAnsi="Times New Roman" w:cs="Times New Roman"/>
          <w:color w:val="000000"/>
        </w:rPr>
        <w:t>ларинголог дитячий, та/або лікар-психіатр, та/або лікар-фтизіатр, та/або лікар-фтизіатр дитячий, та/або лікар-інфекціоніст,  та/або лікар-інфекціоніст дитячий, та/або лікар з лікувальної фізкультури і спортивної медицини, та/або лікар з лікувальної фізкуль</w:t>
      </w:r>
      <w:r>
        <w:rPr>
          <w:rFonts w:ascii="Times New Roman" w:eastAsia="Times New Roman" w:hAnsi="Times New Roman" w:cs="Times New Roman"/>
          <w:color w:val="000000"/>
        </w:rPr>
        <w:t>тури, та/або лікар фізичної та реабілітаційної медицини, та/або лікар медицини невідкладних станів, які пройшли відповідну підготовку (цикл тематичного удосконалення, цикл стажування) за напрямом «Паліативна допомога» – щонайменше 2 особи із зазначеного пе</w:t>
      </w:r>
      <w:r>
        <w:rPr>
          <w:rFonts w:ascii="Times New Roman" w:eastAsia="Times New Roman" w:hAnsi="Times New Roman" w:cs="Times New Roman"/>
          <w:color w:val="000000"/>
        </w:rPr>
        <w:t>реліку, які працюють за основним місцем роботи цього надавача медичних послуг.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    </w:t>
      </w:r>
      <w:r>
        <w:rPr>
          <w:rFonts w:ascii="Times New Roman" w:eastAsia="Times New Roman" w:hAnsi="Times New Roman" w:cs="Times New Roman"/>
          <w:color w:val="000000"/>
        </w:rPr>
        <w:t>Сестра медична / Брат медичний загальної практики – сімейної медицини та/або сестра медична, та/або фельдшер – щонайменше 4 особи із зазначеного переліку, які працюють за основним місцем роботи в цього надавача медичних послуг.</w:t>
      </w:r>
    </w:p>
    <w:p w:rsidR="00F46510" w:rsidRDefault="006B6E4C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</w:rPr>
        <w:t>У надавача медичних послуг: 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    </w:t>
      </w:r>
      <w:r>
        <w:rPr>
          <w:rFonts w:ascii="Times New Roman" w:eastAsia="Times New Roman" w:hAnsi="Times New Roman" w:cs="Times New Roman"/>
          <w:color w:val="000000"/>
        </w:rPr>
        <w:t>Лікар-психолог та/або психолог, та/або лікар-психотерапевт,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та/або психотерапевт, та/або клінічний психолог – щонайменше одна особа із зазначеного переліку, яка працює за основним місцем роботи в цього надавача</w:t>
      </w:r>
      <w:r>
        <w:rPr>
          <w:rFonts w:ascii="Times New Roman" w:eastAsia="Times New Roman" w:hAnsi="Times New Roman" w:cs="Times New Roman"/>
          <w:color w:val="000000"/>
        </w:rPr>
        <w:t xml:space="preserve"> медичних послуг або за сумісництвом. 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Додаткові вимоги до спеціалізації та кількості фахівців, які працюють на посадах:</w:t>
      </w:r>
    </w:p>
    <w:p w:rsidR="00F46510" w:rsidRDefault="006B6E4C">
      <w:pPr>
        <w:shd w:val="clear" w:color="auto" w:fill="FFFFFF"/>
        <w:spacing w:after="0" w:line="240" w:lineRule="auto"/>
        <w:ind w:left="7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1.За місцем надання медичних послуг:</w:t>
      </w:r>
    </w:p>
    <w:p w:rsidR="00F46510" w:rsidRDefault="006B6E4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Сестра медична (брат медичний) загальної практики – сімейної медицини та/або сестра медична, та/</w:t>
      </w:r>
      <w:r>
        <w:rPr>
          <w:rFonts w:ascii="Times New Roman" w:eastAsia="Times New Roman" w:hAnsi="Times New Roman" w:cs="Times New Roman"/>
          <w:color w:val="000000"/>
        </w:rPr>
        <w:t>або фельдшер – щонайменше 2 особи із зазначеного переліку додатково до основного переліку, які працюють за основним місцем роботи в цього надавача медичних послуг.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 У надавача медичних послуг: </w:t>
      </w:r>
    </w:p>
    <w:p w:rsidR="00F46510" w:rsidRDefault="006B6E4C">
      <w:pPr>
        <w:numPr>
          <w:ilvl w:val="0"/>
          <w:numId w:val="24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Лікар-анестезіолог та/або лікар-хірург, та/або лікар-анестез</w:t>
      </w:r>
      <w:r>
        <w:rPr>
          <w:rFonts w:ascii="Times New Roman" w:eastAsia="Times New Roman" w:hAnsi="Times New Roman" w:cs="Times New Roman"/>
          <w:color w:val="000000"/>
        </w:rPr>
        <w:t>іолог дитячий, та/або лікар-хірург дитячий (за умови надання допомоги дітям) - щонайменше 2 особи із зазначеного переліку додатково до основного переліку, які працюють за основним місцем роботи в цього надавача медичних послуг або за сумісництвом.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Вимоги д</w:t>
      </w:r>
      <w:r>
        <w:rPr>
          <w:rFonts w:ascii="Times New Roman" w:eastAsia="Times New Roman" w:hAnsi="Times New Roman" w:cs="Times New Roman"/>
          <w:i/>
          <w:color w:val="000000"/>
        </w:rPr>
        <w:t>о переліку обладнання:</w:t>
      </w:r>
    </w:p>
    <w:p w:rsidR="00F46510" w:rsidRDefault="006B6E4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бригади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мультидисциплінарної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команди для надання послуг з паліативної допомоги: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пульсоксиметр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щонайменше 2;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електрокардіограф багатоканальний портативний;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сумка-органайзер лікарська – щонайменше 2;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сумка-холодильник – щонайменше 2;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глюкометр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щонайменше 4;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тонометр – щонайменше 4;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термометр безконтактний – щонайменше 4;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мішок ручної вентиляції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легенів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F46510" w:rsidRDefault="006B6E4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аптечка для надання невідкладної допомоги.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Додаткові вимоги до переліку обладнання:</w:t>
      </w:r>
    </w:p>
    <w:p w:rsidR="00F46510" w:rsidRDefault="006B6E4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бригади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</w:t>
      </w:r>
      <w:r>
        <w:rPr>
          <w:rFonts w:ascii="Times New Roman" w:eastAsia="Times New Roman" w:hAnsi="Times New Roman" w:cs="Times New Roman"/>
          <w:color w:val="000000"/>
        </w:rPr>
        <w:t>тидисциплінарної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команди для надання послуг з паліативної допомоги: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пульсоксиметр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щонайменше 2;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апарат для CPAP-терапії;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набір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назо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орофарингеальних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повітроводів різних розмірів;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комплект масок для CPAP-терапії (дорослі/дитячі);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комплект назальних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канюль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(дорослі, дитячі); 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кисневий концентратор – щонайменше 4;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</w:rPr>
        <w:t>аспіратор (відсмоктувач) – щонайменше 2;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автоматичний дозатор лікувальних речовин – щонайменше 2;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штатив для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інфузій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(крапельниць) – щонайменше 2;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сумка-холодильник – щонайменше 2;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набор хірургічних інструментів для обробки ран та пролежнів;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глюкометр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щонайменше 4;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тонометр та/або тонометр педіатричний з манжетками для дітей різного віку – щонайменше 4;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термометр безконтактний – щонайменше 4;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мішок</w:t>
      </w:r>
      <w:r>
        <w:rPr>
          <w:rFonts w:ascii="Times New Roman" w:eastAsia="Times New Roman" w:hAnsi="Times New Roman" w:cs="Times New Roman"/>
          <w:color w:val="000000"/>
        </w:rPr>
        <w:t xml:space="preserve"> ручної вентиляції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легенів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F46510" w:rsidRDefault="006B6E4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аптечка для надання невідкладної допомоги.</w:t>
      </w:r>
    </w:p>
    <w:p w:rsidR="00F46510" w:rsidRDefault="006B6E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Інші вимоги:</w:t>
      </w:r>
    </w:p>
    <w:p w:rsidR="00F46510" w:rsidRDefault="006B6E4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Наявність ліцензії на провадження господарської діяльності з медичної практики.</w:t>
      </w:r>
    </w:p>
    <w:p w:rsidR="00F46510" w:rsidRDefault="00F46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6510" w:rsidRDefault="006B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Додаткові інші вимоги:</w:t>
      </w:r>
    </w:p>
    <w:p w:rsidR="00F46510" w:rsidRDefault="006B6E4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Наявність у ЗОЗ рецептурних бланків форми № 1 та № 3.</w:t>
      </w:r>
    </w:p>
    <w:p w:rsidR="00F46510" w:rsidRDefault="00F46510"/>
    <w:p w:rsidR="00F46510" w:rsidRDefault="00F46510"/>
    <w:p w:rsidR="00F46510" w:rsidRDefault="00F46510"/>
    <w:p w:rsidR="00F46510" w:rsidRDefault="00F46510"/>
    <w:p w:rsidR="00F46510" w:rsidRDefault="00F46510"/>
    <w:p w:rsidR="00F46510" w:rsidRDefault="006B6E4C">
      <w:pPr>
        <w:shd w:val="clear" w:color="auto" w:fill="FFFFFF"/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Додаток 1</w:t>
      </w:r>
    </w:p>
    <w:p w:rsidR="00F46510" w:rsidRDefault="006B6E4C">
      <w:pPr>
        <w:shd w:val="clear" w:color="auto" w:fill="FFFFFF"/>
        <w:spacing w:before="140" w:after="140" w:line="240" w:lineRule="auto"/>
        <w:ind w:left="9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ШКАЛА КОМОРБІДНОСТІ</w:t>
      </w:r>
    </w:p>
    <w:p w:rsidR="00F46510" w:rsidRDefault="00F4651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0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4"/>
        <w:gridCol w:w="3887"/>
        <w:gridCol w:w="3923"/>
        <w:gridCol w:w="905"/>
      </w:tblGrid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Код 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 рівень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Виключення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Індекс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A04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бактеріальні кишкові інфекції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Інший гастроентерит та коліт інфекційного та неуточненого походження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D64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анемії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E05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Тиреотоксикоз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порушення внутрішньої секреції підшлункової залози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E53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Дефіцит інших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вітамінів групи В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E55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Дефіцит вітаміну D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E55.9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E86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Виснаження об'єму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рідин організму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F00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Деменція при хворобі Альцгеймера (G30.-†)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F01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Судинна деменція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F03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Неуточнена деменція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</w:tr>
      <w:tr w:rsidR="00F46510">
        <w:trPr>
          <w:trHeight w:val="19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F05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Делірій, не спричинений алкоголем та іншими психоактивними речовинами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F10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Розлади психіки та поведінки внаслідок вживання алкоголю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F10.9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F32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Депресивний епізод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G20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Хвороба Паркінсона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G30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Хвороба Альцгеймера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Умовно виключено, коли використовується код G30* з будь-яким із F00* коди в тому ж епізоді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G31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дегенеративні хвороби нервової системи,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класифіковані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G40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Епілепсія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G45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Транзиторні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церебральні ішемічні напади та пов'язані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ними синдроми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G81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Геміплегія</w:t>
            </w:r>
            <w:proofErr w:type="spell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H54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Порушення зору, включно з бінокулярною чи монокулярною сліпотою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H54.3, H54.9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H91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Інша втрата слуху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I63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Інфаркт головного мозку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I67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Інші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цереброваскулярні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хвороби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I67.9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I95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Гіпотензія</w:t>
            </w:r>
            <w:proofErr w:type="spell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J18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Пневмонія, збудник не уточнений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J22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Гостра респіраторна інфекція нижніх дихальних шляхів, неуточнена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J69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Пневмоніт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спричинений твердими речовинами та рідинами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J96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Дихальна недостатність, не класифікована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K26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Виразка дванадцятипалої кишки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K26.9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K52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неінфекційні гастроентерити та коліти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K59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функціональні порушення кишечнику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K59.0, K59.1, K59.4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K92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хвороби органів травлення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K92.9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L03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Флегмона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L03.19, L03.9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L08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місцеві інфекції шкіри та підшкірної клітковини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L08.1, L08.8, L08.9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L89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Пролежень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L97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Виразка нижньої кінцівки, не класифікована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M15*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Поліартроз</w:t>
            </w:r>
            <w:proofErr w:type="spell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M15.9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M19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Інший артроз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M19.09, M19.19, M19.29, M19.89, M19.9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M25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порушення суглобів, не класифіковані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M25.09, M25.19, M25.29, M25.39, M25.49, M25.5*, M25.6*, M25.79, M25.89, M25.9*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M41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Сколіоз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M41.09, M41.19, M41.29, M41.39, M41.49, M41.59, M41.99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M48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Інші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спондилопатії</w:t>
            </w:r>
            <w:proofErr w:type="spell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M48.09, M48.19, M48.29, M48.39, M48.49, M48.59, M48.89, M48.99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</w:tr>
      <w:tr w:rsidR="00F46510">
        <w:trPr>
          <w:trHeight w:val="16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M79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ураження м'яких тканин, не класифіковані в інших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M79.0*, M79.1*, M79.29, M79.3*, M79.49, M79.59, M79.6*, M79.79, M79.86, M79.89, M79.9*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M80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Остеопороз із патологічним переломом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M80.09, M80.19, M80.29, M80.39, M80.49, M80.59, M80.99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N17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Гостра ниркова недостатність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N18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Хронічна хвороба нирок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N18.1-N18.3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N20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Камені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нирки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сечовода</w:t>
            </w:r>
            <w:proofErr w:type="spell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N28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Інші хвороби нирки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сечовода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не класифіковані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N28.1, N28.9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N39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розлади сечовивідної системи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N39.9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Гангрена, не класифікована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Неуточнене нетримання сечі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  <w:tr w:rsidR="00F46510">
        <w:trPr>
          <w:trHeight w:val="3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R40.2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Кома, неуточнена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R56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Судоми, не класифіковані в інших рубриках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Відкрита рана голови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S06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Внутрішньочерепна травма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діагнози, крім S06.00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S09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Інші та неуточнені травми голови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S22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Перелом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грудини та грудного відділу хребта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F46510">
        <w:trPr>
          <w:trHeight w:val="130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S32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Перелом поперекового відділу хребта та кісток таза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S42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Перелом плеча та кісток плечового поясу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S51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Відкрита рана передпліччя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</w:tr>
      <w:tr w:rsidR="00F46510">
        <w:trPr>
          <w:trHeight w:val="6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S72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Перелом стегнової кістки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</w:tr>
      <w:tr w:rsidR="00F46510">
        <w:trPr>
          <w:trHeight w:val="226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T83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Ускладнення, пов'язані з сечостатевими протезними пристроями, імплантатами та трансплантатами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</w:tr>
      <w:tr w:rsidR="00F46510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Z06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Резистентність до протимікробних препаратів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діагнози даного рівня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46510" w:rsidRDefault="006B6E4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</w:tr>
    </w:tbl>
    <w:p w:rsidR="00F46510" w:rsidRDefault="00F46510"/>
    <w:sectPr w:rsidR="00F4651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C85"/>
    <w:multiLevelType w:val="multilevel"/>
    <w:tmpl w:val="AF5E5F3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077D63"/>
    <w:multiLevelType w:val="multilevel"/>
    <w:tmpl w:val="3020BDA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463072"/>
    <w:multiLevelType w:val="multilevel"/>
    <w:tmpl w:val="9168E9F4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798122D"/>
    <w:multiLevelType w:val="multilevel"/>
    <w:tmpl w:val="E7401C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B2571C"/>
    <w:multiLevelType w:val="multilevel"/>
    <w:tmpl w:val="0E2E6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B417947"/>
    <w:multiLevelType w:val="multilevel"/>
    <w:tmpl w:val="FD0E935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C752983"/>
    <w:multiLevelType w:val="multilevel"/>
    <w:tmpl w:val="7A022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32B14F3"/>
    <w:multiLevelType w:val="multilevel"/>
    <w:tmpl w:val="9F40FF9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3AE394C"/>
    <w:multiLevelType w:val="multilevel"/>
    <w:tmpl w:val="9ECA45D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4A708A5"/>
    <w:multiLevelType w:val="multilevel"/>
    <w:tmpl w:val="9B0EEA7E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652006F"/>
    <w:multiLevelType w:val="multilevel"/>
    <w:tmpl w:val="AEFC932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A532225"/>
    <w:multiLevelType w:val="multilevel"/>
    <w:tmpl w:val="42B2F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CBB7783"/>
    <w:multiLevelType w:val="multilevel"/>
    <w:tmpl w:val="7E7A7C7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F6513A2"/>
    <w:multiLevelType w:val="multilevel"/>
    <w:tmpl w:val="C7E67D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030048E"/>
    <w:multiLevelType w:val="multilevel"/>
    <w:tmpl w:val="F64A26B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A561E2"/>
    <w:multiLevelType w:val="multilevel"/>
    <w:tmpl w:val="D43C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CDA62F5"/>
    <w:multiLevelType w:val="multilevel"/>
    <w:tmpl w:val="32FE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D4F720B"/>
    <w:multiLevelType w:val="multilevel"/>
    <w:tmpl w:val="9D28923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0735B2D"/>
    <w:multiLevelType w:val="multilevel"/>
    <w:tmpl w:val="1C8CA5C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A546A83"/>
    <w:multiLevelType w:val="multilevel"/>
    <w:tmpl w:val="DFBA80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CA77C9"/>
    <w:multiLevelType w:val="multilevel"/>
    <w:tmpl w:val="4F48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E895B71"/>
    <w:multiLevelType w:val="multilevel"/>
    <w:tmpl w:val="83C6E0F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EF462D4"/>
    <w:multiLevelType w:val="multilevel"/>
    <w:tmpl w:val="54663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3F94560E"/>
    <w:multiLevelType w:val="multilevel"/>
    <w:tmpl w:val="61AC5E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7F6E37"/>
    <w:multiLevelType w:val="multilevel"/>
    <w:tmpl w:val="E6BC6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B942E1C"/>
    <w:multiLevelType w:val="multilevel"/>
    <w:tmpl w:val="2954CF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F6E0691"/>
    <w:multiLevelType w:val="multilevel"/>
    <w:tmpl w:val="2D941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B2976AB"/>
    <w:multiLevelType w:val="multilevel"/>
    <w:tmpl w:val="B2B2CC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02665CB"/>
    <w:multiLevelType w:val="multilevel"/>
    <w:tmpl w:val="E8FCB6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08F1163"/>
    <w:multiLevelType w:val="multilevel"/>
    <w:tmpl w:val="8A8A3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10D7DC6"/>
    <w:multiLevelType w:val="multilevel"/>
    <w:tmpl w:val="D11A665A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1624ABA"/>
    <w:multiLevelType w:val="multilevel"/>
    <w:tmpl w:val="1FEAAF8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244907"/>
    <w:multiLevelType w:val="multilevel"/>
    <w:tmpl w:val="AC34B2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4281CF1"/>
    <w:multiLevelType w:val="multilevel"/>
    <w:tmpl w:val="EC342E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5581AE7"/>
    <w:multiLevelType w:val="multilevel"/>
    <w:tmpl w:val="7480DB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9B00F6"/>
    <w:multiLevelType w:val="multilevel"/>
    <w:tmpl w:val="19C62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C3B6195"/>
    <w:multiLevelType w:val="multilevel"/>
    <w:tmpl w:val="9624776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E1E5326"/>
    <w:multiLevelType w:val="multilevel"/>
    <w:tmpl w:val="631A6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5A92DF5"/>
    <w:multiLevelType w:val="multilevel"/>
    <w:tmpl w:val="A568F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6B70D63"/>
    <w:multiLevelType w:val="multilevel"/>
    <w:tmpl w:val="969E9D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73D309F"/>
    <w:multiLevelType w:val="multilevel"/>
    <w:tmpl w:val="1CC87D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1" w15:restartNumberingAfterBreak="0">
    <w:nsid w:val="77491080"/>
    <w:multiLevelType w:val="multilevel"/>
    <w:tmpl w:val="77C89A2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D2E2093"/>
    <w:multiLevelType w:val="multilevel"/>
    <w:tmpl w:val="CCEAC0D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7E083C70"/>
    <w:multiLevelType w:val="multilevel"/>
    <w:tmpl w:val="9A7E5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F7E497A"/>
    <w:multiLevelType w:val="multilevel"/>
    <w:tmpl w:val="3CDAC1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7F937641"/>
    <w:multiLevelType w:val="multilevel"/>
    <w:tmpl w:val="E0C8F1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23"/>
  </w:num>
  <w:num w:numId="3">
    <w:abstractNumId w:val="44"/>
  </w:num>
  <w:num w:numId="4">
    <w:abstractNumId w:val="34"/>
  </w:num>
  <w:num w:numId="5">
    <w:abstractNumId w:val="13"/>
  </w:num>
  <w:num w:numId="6">
    <w:abstractNumId w:val="27"/>
  </w:num>
  <w:num w:numId="7">
    <w:abstractNumId w:val="31"/>
  </w:num>
  <w:num w:numId="8">
    <w:abstractNumId w:val="28"/>
  </w:num>
  <w:num w:numId="9">
    <w:abstractNumId w:val="3"/>
  </w:num>
  <w:num w:numId="10">
    <w:abstractNumId w:val="20"/>
  </w:num>
  <w:num w:numId="11">
    <w:abstractNumId w:val="15"/>
  </w:num>
  <w:num w:numId="12">
    <w:abstractNumId w:val="16"/>
  </w:num>
  <w:num w:numId="13">
    <w:abstractNumId w:val="22"/>
  </w:num>
  <w:num w:numId="14">
    <w:abstractNumId w:val="39"/>
  </w:num>
  <w:num w:numId="15">
    <w:abstractNumId w:val="7"/>
  </w:num>
  <w:num w:numId="16">
    <w:abstractNumId w:val="32"/>
  </w:num>
  <w:num w:numId="17">
    <w:abstractNumId w:val="26"/>
  </w:num>
  <w:num w:numId="18">
    <w:abstractNumId w:val="9"/>
  </w:num>
  <w:num w:numId="19">
    <w:abstractNumId w:val="25"/>
  </w:num>
  <w:num w:numId="20">
    <w:abstractNumId w:val="38"/>
  </w:num>
  <w:num w:numId="21">
    <w:abstractNumId w:val="41"/>
  </w:num>
  <w:num w:numId="22">
    <w:abstractNumId w:val="1"/>
  </w:num>
  <w:num w:numId="23">
    <w:abstractNumId w:val="30"/>
  </w:num>
  <w:num w:numId="24">
    <w:abstractNumId w:val="2"/>
  </w:num>
  <w:num w:numId="25">
    <w:abstractNumId w:val="37"/>
  </w:num>
  <w:num w:numId="26">
    <w:abstractNumId w:val="24"/>
  </w:num>
  <w:num w:numId="27">
    <w:abstractNumId w:val="43"/>
  </w:num>
  <w:num w:numId="28">
    <w:abstractNumId w:val="35"/>
  </w:num>
  <w:num w:numId="29">
    <w:abstractNumId w:val="29"/>
  </w:num>
  <w:num w:numId="30">
    <w:abstractNumId w:val="12"/>
  </w:num>
  <w:num w:numId="31">
    <w:abstractNumId w:val="18"/>
  </w:num>
  <w:num w:numId="32">
    <w:abstractNumId w:val="8"/>
  </w:num>
  <w:num w:numId="33">
    <w:abstractNumId w:val="36"/>
  </w:num>
  <w:num w:numId="34">
    <w:abstractNumId w:val="6"/>
  </w:num>
  <w:num w:numId="35">
    <w:abstractNumId w:val="5"/>
  </w:num>
  <w:num w:numId="36">
    <w:abstractNumId w:val="17"/>
  </w:num>
  <w:num w:numId="37">
    <w:abstractNumId w:val="4"/>
  </w:num>
  <w:num w:numId="38">
    <w:abstractNumId w:val="21"/>
  </w:num>
  <w:num w:numId="39">
    <w:abstractNumId w:val="0"/>
  </w:num>
  <w:num w:numId="40">
    <w:abstractNumId w:val="10"/>
  </w:num>
  <w:num w:numId="41">
    <w:abstractNumId w:val="11"/>
  </w:num>
  <w:num w:numId="42">
    <w:abstractNumId w:val="42"/>
  </w:num>
  <w:num w:numId="43">
    <w:abstractNumId w:val="19"/>
  </w:num>
  <w:num w:numId="44">
    <w:abstractNumId w:val="33"/>
  </w:num>
  <w:num w:numId="45">
    <w:abstractNumId w:val="4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10"/>
    <w:rsid w:val="006B6E4C"/>
    <w:rsid w:val="00F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7270"/>
  <w15:docId w15:val="{50DEB81C-33DF-486C-9140-BE985AF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C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01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AC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5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15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50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a0"/>
    <w:rsid w:val="003266FF"/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EGTd1ZiCxSRPllIegszOireuA==">CgMxLjA4AGo3ChRzdWdnZXN0LngxMmdwOTVmYm1icBIf0JDQu9GM0LHRltC90LAg0JLQvtC70L7RiNC40L3QsGo3ChRzdWdnZXN0LjJucGhtbHo2em94ehIf0JDQu9GM0LHRltC90LAg0JLQvtC70L7RiNC40L3QsHIhMVVDdjR0aURtVWIyZ1NiNEZwVzQ1MS1qMlpZNms3eU1m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13565</Words>
  <Characters>7733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Альбіна Волошина</dc:creator>
  <cp:lastModifiedBy>Богдан Омельченко</cp:lastModifiedBy>
  <cp:revision>2</cp:revision>
  <dcterms:created xsi:type="dcterms:W3CDTF">2024-12-03T11:57:00Z</dcterms:created>
  <dcterms:modified xsi:type="dcterms:W3CDTF">2024-12-03T11:57:00Z</dcterms:modified>
</cp:coreProperties>
</file>