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B3B" w:rsidRDefault="00614B3B" w:rsidP="00614B3B">
      <w:pPr>
        <w:pStyle w:val="1"/>
        <w:spacing w:before="240"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ЛІКУВАННЯ ПАЦІЄНТІВ МЕТОДОМ ГЕМОДІАЛІЗУ В АМБУЛАТОРНИХ УМОВАХ</w:t>
      </w:r>
    </w:p>
    <w:p w:rsidR="00614B3B" w:rsidRDefault="00614B3B" w:rsidP="00614B3B">
      <w:pPr>
        <w:keepLines/>
        <w:shd w:val="clear" w:color="auto" w:fill="FFFFFF"/>
        <w:spacing w:before="240" w:after="240" w:line="276" w:lineRule="auto"/>
        <w:ind w:left="2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Обсяг медичних послуг, який надавач зобов’язується надавати за договором відповідно до медичних потреб пацієнта/пацієнтки (специфікація)</w:t>
      </w:r>
    </w:p>
    <w:p w:rsidR="00614B3B" w:rsidRDefault="00614B3B" w:rsidP="00614B3B">
      <w:pPr>
        <w:keepLines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Первинний огляд пацієнта/пацієнтки та подальше спостереження за станом </w:t>
      </w:r>
      <w:proofErr w:type="spellStart"/>
      <w:r>
        <w:rPr>
          <w:rFonts w:ascii="Times New Roman" w:hAnsi="Times New Roman"/>
          <w:sz w:val="24"/>
          <w:szCs w:val="24"/>
        </w:rPr>
        <w:t>життєво</w:t>
      </w:r>
      <w:proofErr w:type="spellEnd"/>
      <w:r>
        <w:rPr>
          <w:rFonts w:ascii="Times New Roman" w:hAnsi="Times New Roman"/>
          <w:sz w:val="24"/>
          <w:szCs w:val="24"/>
        </w:rPr>
        <w:t xml:space="preserve"> важливих функцій організму.</w:t>
      </w:r>
    </w:p>
    <w:p w:rsidR="00614B3B" w:rsidRDefault="00614B3B" w:rsidP="00614B3B">
      <w:pPr>
        <w:keepLines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Обов’язкове інформування пацієнта/пацієнтки про можливі методи </w:t>
      </w:r>
      <w:proofErr w:type="spellStart"/>
      <w:r>
        <w:rPr>
          <w:rFonts w:ascii="Times New Roman" w:hAnsi="Times New Roman"/>
          <w:sz w:val="24"/>
          <w:szCs w:val="24"/>
        </w:rPr>
        <w:t>нирково</w:t>
      </w:r>
      <w:proofErr w:type="spellEnd"/>
      <w:r>
        <w:rPr>
          <w:rFonts w:ascii="Times New Roman" w:hAnsi="Times New Roman"/>
          <w:sz w:val="24"/>
          <w:szCs w:val="24"/>
        </w:rPr>
        <w:t>-замісної терапії (НЗТ).</w:t>
      </w:r>
    </w:p>
    <w:p w:rsidR="00614B3B" w:rsidRDefault="00614B3B" w:rsidP="00614B3B">
      <w:pPr>
        <w:keepLines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ефективності (адекватності) </w:t>
      </w:r>
      <w:proofErr w:type="spellStart"/>
      <w:r>
        <w:rPr>
          <w:rFonts w:ascii="Times New Roman" w:hAnsi="Times New Roman"/>
          <w:sz w:val="24"/>
          <w:szCs w:val="24"/>
        </w:rPr>
        <w:t>діалізного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лікування, включаючи оцінку та корекцію </w:t>
      </w:r>
      <w:proofErr w:type="spellStart"/>
      <w:r>
        <w:rPr>
          <w:rFonts w:ascii="Times New Roman" w:hAnsi="Times New Roman"/>
          <w:sz w:val="24"/>
          <w:szCs w:val="24"/>
        </w:rPr>
        <w:t>нутриційного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статусу, своєчасну діагностику, профілактику та лікування ускладнень із направленням </w:t>
      </w:r>
      <w:r>
        <w:rPr>
          <w:rFonts w:ascii="Times New Roman" w:hAnsi="Times New Roman"/>
          <w:color w:val="323232"/>
          <w:sz w:val="24"/>
          <w:szCs w:val="24"/>
        </w:rPr>
        <w:t>пацієнта/пацієнтки</w:t>
      </w:r>
      <w:r>
        <w:rPr>
          <w:rFonts w:ascii="Times New Roman" w:hAnsi="Times New Roman"/>
          <w:sz w:val="24"/>
          <w:szCs w:val="24"/>
        </w:rPr>
        <w:t xml:space="preserve"> при наявності показань до лікарів-спеціалістів інших профілів. </w:t>
      </w:r>
    </w:p>
    <w:p w:rsidR="00614B3B" w:rsidRDefault="00614B3B" w:rsidP="00614B3B">
      <w:pPr>
        <w:keepLines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Проведення процедури гемодіалізу. </w:t>
      </w:r>
    </w:p>
    <w:p w:rsidR="00614B3B" w:rsidRDefault="00614B3B" w:rsidP="00614B3B">
      <w:pPr>
        <w:keepLines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Проведення необхідних лабораторних досліджень відповідно до галузевих стандартів у сфері охорони здоров’я, зокрема: </w:t>
      </w:r>
    </w:p>
    <w:p w:rsidR="00614B3B" w:rsidRDefault="00614B3B" w:rsidP="00614B3B">
      <w:pPr>
        <w:pStyle w:val="a3"/>
        <w:keepLines/>
        <w:numPr>
          <w:ilvl w:val="4"/>
          <w:numId w:val="5"/>
        </w:numPr>
        <w:shd w:val="clear" w:color="auto" w:fill="FFFFFF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біохімічний аналіз крові (сечовина, креатинін, загальний білок, альбумін, глюкоза, калій, натрій, магній, кальцій (загальний або іонізований), фосфор; фракції білірубіну, АЛТ, АСТ);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14B3B" w:rsidRDefault="00614B3B" w:rsidP="00614B3B">
      <w:pPr>
        <w:pStyle w:val="a3"/>
        <w:keepLines/>
        <w:numPr>
          <w:ilvl w:val="4"/>
          <w:numId w:val="5"/>
        </w:numPr>
        <w:shd w:val="clear" w:color="auto" w:fill="FFFFFF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загальний аналіз крові; </w:t>
      </w:r>
    </w:p>
    <w:p w:rsidR="00614B3B" w:rsidRDefault="00614B3B" w:rsidP="00614B3B">
      <w:pPr>
        <w:pStyle w:val="a3"/>
        <w:keepLines/>
        <w:numPr>
          <w:ilvl w:val="4"/>
          <w:numId w:val="5"/>
        </w:numPr>
        <w:shd w:val="clear" w:color="auto" w:fill="FFFFFF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визначення загального холестерину, </w:t>
      </w:r>
      <w:proofErr w:type="spellStart"/>
      <w:r>
        <w:rPr>
          <w:rFonts w:ascii="Times New Roman" w:hAnsi="Times New Roman"/>
          <w:sz w:val="24"/>
          <w:szCs w:val="24"/>
        </w:rPr>
        <w:t>тригліцеридів</w:t>
      </w:r>
      <w:proofErr w:type="spellEnd"/>
      <w:r>
        <w:rPr>
          <w:rFonts w:ascii="Times New Roman" w:hAnsi="Times New Roman"/>
          <w:sz w:val="24"/>
          <w:szCs w:val="24"/>
        </w:rPr>
        <w:t xml:space="preserve"> крові та інших показників ліпідного профілю; </w:t>
      </w:r>
    </w:p>
    <w:p w:rsidR="00614B3B" w:rsidRDefault="00614B3B" w:rsidP="00614B3B">
      <w:pPr>
        <w:pStyle w:val="a3"/>
        <w:keepLines/>
        <w:numPr>
          <w:ilvl w:val="4"/>
          <w:numId w:val="5"/>
        </w:numPr>
        <w:shd w:val="clear" w:color="auto" w:fill="FFFFFF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визначення показників харчового статусу; </w:t>
      </w:r>
    </w:p>
    <w:p w:rsidR="00614B3B" w:rsidRDefault="00614B3B" w:rsidP="00614B3B">
      <w:pPr>
        <w:pStyle w:val="a3"/>
        <w:keepLines/>
        <w:numPr>
          <w:ilvl w:val="4"/>
          <w:numId w:val="5"/>
        </w:numPr>
        <w:shd w:val="clear" w:color="auto" w:fill="FFFFFF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визначення </w:t>
      </w:r>
      <w:proofErr w:type="spellStart"/>
      <w:r>
        <w:rPr>
          <w:rFonts w:ascii="Times New Roman" w:hAnsi="Times New Roman"/>
          <w:sz w:val="24"/>
          <w:szCs w:val="24"/>
        </w:rPr>
        <w:t>паратиреоїдного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гормону крові; </w:t>
      </w:r>
    </w:p>
    <w:p w:rsidR="00614B3B" w:rsidRDefault="00614B3B" w:rsidP="00614B3B">
      <w:pPr>
        <w:pStyle w:val="a3"/>
        <w:keepLines/>
        <w:numPr>
          <w:ilvl w:val="4"/>
          <w:numId w:val="5"/>
        </w:numPr>
        <w:shd w:val="clear" w:color="auto" w:fill="FFFFFF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визначення насичення </w:t>
      </w:r>
      <w:proofErr w:type="spellStart"/>
      <w:r>
        <w:rPr>
          <w:rFonts w:ascii="Times New Roman" w:hAnsi="Times New Roman"/>
          <w:sz w:val="24"/>
          <w:szCs w:val="24"/>
        </w:rPr>
        <w:t>трансферину</w:t>
      </w:r>
      <w:proofErr w:type="spellEnd"/>
      <w:r>
        <w:rPr>
          <w:rFonts w:ascii="Times New Roman" w:hAnsi="Times New Roman"/>
          <w:sz w:val="24"/>
          <w:szCs w:val="24"/>
        </w:rPr>
        <w:t xml:space="preserve"> і сироваткового </w:t>
      </w:r>
      <w:proofErr w:type="spellStart"/>
      <w:r>
        <w:rPr>
          <w:rFonts w:ascii="Times New Roman" w:hAnsi="Times New Roman"/>
          <w:sz w:val="24"/>
          <w:szCs w:val="24"/>
        </w:rPr>
        <w:t>феритину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614B3B" w:rsidRDefault="00614B3B" w:rsidP="00614B3B">
      <w:pPr>
        <w:pStyle w:val="a3"/>
        <w:keepLines/>
        <w:numPr>
          <w:ilvl w:val="4"/>
          <w:numId w:val="5"/>
        </w:numPr>
        <w:shd w:val="clear" w:color="auto" w:fill="FFFFFF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визначення </w:t>
      </w:r>
      <w:proofErr w:type="spellStart"/>
      <w:r>
        <w:rPr>
          <w:rFonts w:ascii="Times New Roman" w:hAnsi="Times New Roman"/>
          <w:sz w:val="24"/>
          <w:szCs w:val="24"/>
        </w:rPr>
        <w:t>HBsAg</w:t>
      </w:r>
      <w:proofErr w:type="spellEnd"/>
      <w:r>
        <w:rPr>
          <w:rFonts w:ascii="Times New Roman" w:hAnsi="Times New Roman"/>
          <w:sz w:val="24"/>
          <w:szCs w:val="24"/>
        </w:rPr>
        <w:t xml:space="preserve">, антитіл до НCV; </w:t>
      </w:r>
    </w:p>
    <w:p w:rsidR="00614B3B" w:rsidRDefault="00614B3B" w:rsidP="00614B3B">
      <w:pPr>
        <w:pStyle w:val="a3"/>
        <w:keepLines/>
        <w:numPr>
          <w:ilvl w:val="4"/>
          <w:numId w:val="5"/>
        </w:numPr>
        <w:shd w:val="clear" w:color="auto" w:fill="FFFFFF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визначення антитіл до ВІЛ, реакції </w:t>
      </w:r>
      <w:proofErr w:type="spellStart"/>
      <w:r>
        <w:rPr>
          <w:rFonts w:ascii="Times New Roman" w:hAnsi="Times New Roman"/>
          <w:sz w:val="24"/>
          <w:szCs w:val="24"/>
        </w:rPr>
        <w:t>Вассермана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614B3B" w:rsidRDefault="00614B3B" w:rsidP="00614B3B">
      <w:pPr>
        <w:pStyle w:val="a3"/>
        <w:keepLines/>
        <w:numPr>
          <w:ilvl w:val="4"/>
          <w:numId w:val="5"/>
        </w:numPr>
        <w:shd w:val="clear" w:color="auto" w:fill="FFFFFF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визначення </w:t>
      </w:r>
      <w:proofErr w:type="spellStart"/>
      <w:r>
        <w:rPr>
          <w:rFonts w:ascii="Times New Roman" w:hAnsi="Times New Roman"/>
          <w:sz w:val="24"/>
          <w:szCs w:val="24"/>
        </w:rPr>
        <w:t>діалізної</w:t>
      </w:r>
      <w:proofErr w:type="spellEnd"/>
      <w:r>
        <w:rPr>
          <w:rFonts w:ascii="Times New Roman" w:hAnsi="Times New Roman"/>
          <w:sz w:val="24"/>
          <w:szCs w:val="24"/>
        </w:rPr>
        <w:t xml:space="preserve"> дози;</w:t>
      </w:r>
    </w:p>
    <w:p w:rsidR="00614B3B" w:rsidRDefault="00614B3B" w:rsidP="00614B3B">
      <w:pPr>
        <w:pStyle w:val="a3"/>
        <w:keepLines/>
        <w:numPr>
          <w:ilvl w:val="4"/>
          <w:numId w:val="5"/>
        </w:numPr>
        <w:shd w:val="clear" w:color="auto" w:fill="FFFFFF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визначення «сухої» ваги </w:t>
      </w:r>
      <w:r>
        <w:rPr>
          <w:rFonts w:ascii="Times New Roman" w:hAnsi="Times New Roman"/>
          <w:color w:val="323232"/>
          <w:sz w:val="24"/>
          <w:szCs w:val="24"/>
        </w:rPr>
        <w:t>пацієнта/пацієнтки</w:t>
      </w:r>
      <w:r>
        <w:rPr>
          <w:rFonts w:ascii="Times New Roman" w:hAnsi="Times New Roman"/>
          <w:sz w:val="24"/>
          <w:szCs w:val="24"/>
        </w:rPr>
        <w:t>.</w:t>
      </w:r>
    </w:p>
    <w:p w:rsidR="00614B3B" w:rsidRDefault="00614B3B" w:rsidP="00614B3B">
      <w:pPr>
        <w:keepLines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менеджменту судинного доступу: </w:t>
      </w:r>
    </w:p>
    <w:p w:rsidR="00614B3B" w:rsidRDefault="00614B3B" w:rsidP="00614B3B">
      <w:pPr>
        <w:pStyle w:val="a3"/>
        <w:keepLines/>
        <w:numPr>
          <w:ilvl w:val="4"/>
          <w:numId w:val="1"/>
        </w:numPr>
        <w:shd w:val="clear" w:color="auto" w:fill="FFFFFF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попередження інфекційних ускладнень та тромбозу судинного доступу у </w:t>
      </w:r>
      <w:r>
        <w:rPr>
          <w:rFonts w:ascii="Times New Roman" w:hAnsi="Times New Roman"/>
          <w:color w:val="323232"/>
          <w:sz w:val="24"/>
          <w:szCs w:val="24"/>
        </w:rPr>
        <w:t>пацієнта/пацієнтки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614B3B" w:rsidRDefault="00614B3B" w:rsidP="00614B3B">
      <w:pPr>
        <w:pStyle w:val="a3"/>
        <w:keepLines/>
        <w:numPr>
          <w:ilvl w:val="4"/>
          <w:numId w:val="1"/>
        </w:numPr>
        <w:shd w:val="clear" w:color="auto" w:fill="FFFFFF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направлення </w:t>
      </w:r>
      <w:r>
        <w:rPr>
          <w:rFonts w:ascii="Times New Roman" w:hAnsi="Times New Roman"/>
          <w:color w:val="323232"/>
          <w:sz w:val="24"/>
          <w:szCs w:val="24"/>
        </w:rPr>
        <w:t>пацієнта/пацієнтки</w:t>
      </w:r>
      <w:r>
        <w:rPr>
          <w:rFonts w:ascii="Times New Roman" w:hAnsi="Times New Roman"/>
          <w:sz w:val="24"/>
          <w:szCs w:val="24"/>
        </w:rPr>
        <w:t xml:space="preserve"> до закладу охорони здоров’я (ЗОЗ) при ускладненнях, пов’язаних із судинним доступом. </w:t>
      </w:r>
    </w:p>
    <w:p w:rsidR="00614B3B" w:rsidRDefault="00614B3B" w:rsidP="00614B3B">
      <w:pPr>
        <w:keepLines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Надання своєчасної невідкладної медичної допомоги при виникненні станів, що загрожують життю, під час перебування пацієнта/пацієнтки у ЗОЗ. </w:t>
      </w:r>
    </w:p>
    <w:p w:rsidR="00614B3B" w:rsidRDefault="00614B3B" w:rsidP="00614B3B">
      <w:pPr>
        <w:keepLines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своєчасної діагностики анемії та проведення її медикаментозного лікування. </w:t>
      </w:r>
    </w:p>
    <w:p w:rsidR="00614B3B" w:rsidRDefault="00614B3B" w:rsidP="00614B3B">
      <w:pPr>
        <w:keepLines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лікарськими засобами, постачання яких здійснюється шляхом централізованих </w:t>
      </w:r>
      <w:proofErr w:type="spellStart"/>
      <w:r>
        <w:rPr>
          <w:rFonts w:ascii="Times New Roman" w:hAnsi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/>
          <w:sz w:val="24"/>
          <w:szCs w:val="24"/>
        </w:rPr>
        <w:t xml:space="preserve"> МОЗ, за рахунок інших програм центрального та місцевого бюджетів, а також лікарськими засобами, визначеними Національним переліком основних лікарських засобів, необхідними медичними виробами та витратними матеріалами відповідно до галузевих стандартів у сфері охорони здоров’я та медико-технологічних документів.</w:t>
      </w:r>
    </w:p>
    <w:p w:rsidR="00614B3B" w:rsidRDefault="00614B3B" w:rsidP="00614B3B">
      <w:pPr>
        <w:keepLines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Направлення </w:t>
      </w:r>
      <w:r>
        <w:rPr>
          <w:rFonts w:ascii="Times New Roman" w:hAnsi="Times New Roman"/>
          <w:color w:val="323232"/>
          <w:sz w:val="24"/>
          <w:szCs w:val="24"/>
        </w:rPr>
        <w:t>пацієнта/пацієнтки</w:t>
      </w:r>
      <w:r>
        <w:rPr>
          <w:rFonts w:ascii="Times New Roman" w:hAnsi="Times New Roman"/>
          <w:sz w:val="24"/>
          <w:szCs w:val="24"/>
        </w:rPr>
        <w:t xml:space="preserve"> для отримання спеціалізованої медичної допомоги та  інших медичних послуг. </w:t>
      </w:r>
    </w:p>
    <w:p w:rsidR="00614B3B" w:rsidRDefault="00614B3B" w:rsidP="00614B3B">
      <w:pPr>
        <w:keepLines/>
        <w:numPr>
          <w:ilvl w:val="0"/>
          <w:numId w:val="4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Дотримання принципів </w:t>
      </w:r>
      <w:proofErr w:type="spellStart"/>
      <w:r>
        <w:rPr>
          <w:rFonts w:ascii="Times New Roman" w:hAnsi="Times New Roman"/>
          <w:sz w:val="24"/>
          <w:szCs w:val="24"/>
        </w:rPr>
        <w:t>безбар’єрності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та інклюзії при наданні медичної допомоги, у тому числі з використанням методів і засобів телемедицини відповідно до нормативно-правових актів.</w:t>
      </w:r>
    </w:p>
    <w:p w:rsidR="00614B3B" w:rsidRDefault="00614B3B" w:rsidP="00614B3B">
      <w:pPr>
        <w:keepLines/>
        <w:shd w:val="clear" w:color="auto" w:fill="FFFFFF"/>
        <w:spacing w:before="240" w:after="0" w:line="276" w:lineRule="auto"/>
        <w:ind w:firstLine="70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ЛІКУВАННЯ ПАЦІЄНТІВ МЕТОДОМ ГЕМОДІАЛІЗУ В АМБУЛАТОРНИХ УМОВАХ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  <w:t xml:space="preserve">  Умови закупівлі медичних послуг</w:t>
      </w:r>
    </w:p>
    <w:p w:rsidR="00614B3B" w:rsidRDefault="00614B3B" w:rsidP="00614B3B">
      <w:pPr>
        <w:keepLines/>
        <w:shd w:val="clear" w:color="auto" w:fill="FFFFFF"/>
        <w:spacing w:before="240" w:after="0" w:line="276" w:lineRule="auto"/>
        <w:ind w:firstLine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Умови надання послуги: </w:t>
      </w:r>
      <w:r>
        <w:rPr>
          <w:rFonts w:ascii="Times New Roman" w:hAnsi="Times New Roman"/>
          <w:sz w:val="24"/>
          <w:szCs w:val="24"/>
        </w:rPr>
        <w:t xml:space="preserve">амбулаторно. </w:t>
      </w:r>
    </w:p>
    <w:p w:rsidR="00614B3B" w:rsidRDefault="00614B3B" w:rsidP="00614B3B">
      <w:pPr>
        <w:keepLines/>
        <w:shd w:val="clear" w:color="auto" w:fill="FFFFFF"/>
        <w:spacing w:before="240" w:after="240" w:line="276" w:lineRule="auto"/>
        <w:ind w:firstLine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Підстави надання послуги</w:t>
      </w:r>
      <w:r>
        <w:rPr>
          <w:rFonts w:ascii="Times New Roman" w:hAnsi="Times New Roman"/>
          <w:sz w:val="24"/>
          <w:szCs w:val="24"/>
        </w:rPr>
        <w:t>: направлення лікаря-нефролога/ лікаря-нефролога дитячого при встановленому діагнозі:</w:t>
      </w:r>
    </w:p>
    <w:p w:rsidR="00614B3B" w:rsidRDefault="00614B3B" w:rsidP="00614B3B">
      <w:pPr>
        <w:keepLines/>
        <w:shd w:val="clear" w:color="auto" w:fill="FFFFFF"/>
        <w:spacing w:before="240" w:after="0"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      N18.4 Хронічна хвороба нирок, стадія 4 (виключно до показів, вказаних у галузевих стандартах у сфері охорони здоров’я); </w:t>
      </w:r>
    </w:p>
    <w:p w:rsidR="00614B3B" w:rsidRDefault="00614B3B" w:rsidP="00614B3B">
      <w:pPr>
        <w:keepLines/>
        <w:shd w:val="clear" w:color="auto" w:fill="FFFFFF"/>
        <w:spacing w:after="0"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      N18.5 Хронічна хвороба нирок, стадія 5; </w:t>
      </w:r>
    </w:p>
    <w:p w:rsidR="00614B3B" w:rsidRDefault="00614B3B" w:rsidP="00614B3B">
      <w:pPr>
        <w:keepLines/>
        <w:shd w:val="clear" w:color="auto" w:fill="FFFFFF"/>
        <w:spacing w:after="0"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      N18.8 Інші прояви хронічної ниркової недостатності; </w:t>
      </w:r>
    </w:p>
    <w:p w:rsidR="00614B3B" w:rsidRDefault="00614B3B" w:rsidP="00614B3B">
      <w:pPr>
        <w:keepLines/>
        <w:shd w:val="clear" w:color="auto" w:fill="FFFFFF"/>
        <w:spacing w:after="0"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      N18.9 Хронічна хвороба нирок неуточнена; </w:t>
      </w:r>
    </w:p>
    <w:p w:rsidR="00614B3B" w:rsidRDefault="00614B3B" w:rsidP="00614B3B">
      <w:pPr>
        <w:keepLines/>
        <w:shd w:val="clear" w:color="auto" w:fill="FFFFFF"/>
        <w:spacing w:after="240" w:line="276" w:lineRule="auto"/>
        <w:ind w:left="720" w:hanging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●       N19 Ниркова недостатність неуточнена. </w:t>
      </w:r>
    </w:p>
    <w:p w:rsidR="00614B3B" w:rsidRDefault="00614B3B" w:rsidP="00614B3B">
      <w:pPr>
        <w:keepLines/>
        <w:shd w:val="clear" w:color="auto" w:fill="FFFFFF"/>
        <w:spacing w:before="240" w:after="240"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Вимоги до організації надання послуги: </w:t>
      </w:r>
    </w:p>
    <w:p w:rsidR="00614B3B" w:rsidRDefault="00614B3B" w:rsidP="00614B3B">
      <w:pPr>
        <w:keepLines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Наявність у ЗОЗ структурного підрозділу, що проводить гемодіаліз в амбулаторних умовах. </w:t>
      </w:r>
    </w:p>
    <w:p w:rsidR="00614B3B" w:rsidRDefault="00614B3B" w:rsidP="00614B3B">
      <w:pPr>
        <w:keepLines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можливості вільного вибору пацієнтами ЗОЗ, де проводиться лікування методом гемодіалізу, при наявності вільних </w:t>
      </w:r>
      <w:proofErr w:type="spellStart"/>
      <w:r>
        <w:rPr>
          <w:rFonts w:ascii="Times New Roman" w:hAnsi="Times New Roman"/>
          <w:sz w:val="24"/>
          <w:szCs w:val="24"/>
        </w:rPr>
        <w:t>діалізних</w:t>
      </w:r>
      <w:proofErr w:type="spellEnd"/>
      <w:r>
        <w:rPr>
          <w:rFonts w:ascii="Times New Roman" w:hAnsi="Times New Roman"/>
          <w:sz w:val="24"/>
          <w:szCs w:val="24"/>
        </w:rPr>
        <w:t xml:space="preserve"> місць у ЗОЗ (відділенні). </w:t>
      </w:r>
    </w:p>
    <w:p w:rsidR="00614B3B" w:rsidRDefault="00614B3B" w:rsidP="00614B3B">
      <w:pPr>
        <w:keepLines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проведення пацієнтам процедур гемодіалізу. </w:t>
      </w:r>
    </w:p>
    <w:p w:rsidR="00614B3B" w:rsidRDefault="00614B3B" w:rsidP="00614B3B">
      <w:pPr>
        <w:keepLines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проведення лабораторних досліджень, визначених специфікаціями, у ЗОЗ, на умовах оренди, </w:t>
      </w:r>
      <w:proofErr w:type="spellStart"/>
      <w:r>
        <w:rPr>
          <w:rFonts w:ascii="Times New Roman" w:hAnsi="Times New Roman"/>
          <w:sz w:val="24"/>
          <w:szCs w:val="24"/>
        </w:rPr>
        <w:t>підряду</w:t>
      </w:r>
      <w:proofErr w:type="spellEnd"/>
      <w:r>
        <w:rPr>
          <w:rFonts w:ascii="Times New Roman" w:hAnsi="Times New Roman"/>
          <w:sz w:val="24"/>
          <w:szCs w:val="24"/>
        </w:rPr>
        <w:t xml:space="preserve"> та інших умов  користування відповідного обладнання.</w:t>
      </w:r>
    </w:p>
    <w:p w:rsidR="00614B3B" w:rsidRDefault="00614B3B" w:rsidP="00614B3B">
      <w:pPr>
        <w:keepLines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Забезпечення хімічної та мікробіологічної безпеки при проведенні гемодіалізу (контроль якості води, мікробіологічні дослідження змивів з </w:t>
      </w:r>
      <w:proofErr w:type="spellStart"/>
      <w:r>
        <w:rPr>
          <w:rFonts w:ascii="Times New Roman" w:hAnsi="Times New Roman"/>
          <w:b/>
          <w:sz w:val="24"/>
          <w:szCs w:val="24"/>
        </w:rPr>
        <w:t>діалізних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апаратів та залів, стерильність матеріалів та інструментів тощо).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:rsidR="00614B3B" w:rsidRDefault="00614B3B" w:rsidP="00614B3B">
      <w:pPr>
        <w:keepLines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Взаємодія з іншими надавачами медичних послуг для своєчасного та ефективного надання допомоги пацієнтам. </w:t>
      </w:r>
    </w:p>
    <w:p w:rsidR="00614B3B" w:rsidRDefault="00614B3B" w:rsidP="00614B3B">
      <w:pPr>
        <w:keepLines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Інформування пацієнтів щодо можливостей профілактики та лікування, залучення до ухвалення рішень щодо їх здоров'я, узгодження плану лікування з пацієнтами відповідно до їх очікувань та можливостей. </w:t>
      </w:r>
    </w:p>
    <w:p w:rsidR="00614B3B" w:rsidRDefault="00614B3B" w:rsidP="00614B3B">
      <w:pPr>
        <w:keepLines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Обов’язкове інформування пацієнтів щодо можливості отримання інших необхідних медичних послуг безоплатно за рахунок коштів програми медичних гарантій.</w:t>
      </w:r>
    </w:p>
    <w:p w:rsidR="00614B3B" w:rsidRDefault="00614B3B" w:rsidP="00614B3B">
      <w:pPr>
        <w:keepLines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Наявність плану дій з профілактики інфекцій та інфекційного контролю та стандартних операційних процедур, відповідно до чинного законодавства.</w:t>
      </w:r>
    </w:p>
    <w:p w:rsidR="00614B3B" w:rsidRDefault="00614B3B" w:rsidP="00614B3B">
      <w:pPr>
        <w:keepLines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Наявність плану протиепідемічної готовності/реагування на випадок виявлення особливо небезпечних інфекційних </w:t>
      </w:r>
      <w:proofErr w:type="spellStart"/>
      <w:r>
        <w:rPr>
          <w:rFonts w:ascii="Times New Roman" w:hAnsi="Times New Roman"/>
          <w:b/>
          <w:sz w:val="24"/>
          <w:szCs w:val="24"/>
        </w:rPr>
        <w:t>хвороб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614B3B" w:rsidRDefault="00614B3B" w:rsidP="00614B3B">
      <w:pPr>
        <w:keepLines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Наявність стандартних операційних процедур з менеджменту судинного доступу щодо попередження інфекційних ускладнень та тромбозу судинного доступу у пацієнта/пацієнтки.</w:t>
      </w:r>
    </w:p>
    <w:p w:rsidR="00614B3B" w:rsidRDefault="00614B3B" w:rsidP="00614B3B">
      <w:pPr>
        <w:keepLines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Наявність клінічного маршруту пацієнта/пацієнтки при ускладненнях, пов’язаних із судинним доступом.</w:t>
      </w:r>
      <w:r>
        <w:rPr>
          <w:rFonts w:ascii="Times New Roman" w:hAnsi="Times New Roman"/>
          <w:color w:val="00B0F0"/>
          <w:sz w:val="24"/>
          <w:szCs w:val="24"/>
        </w:rPr>
        <w:t xml:space="preserve"> </w:t>
      </w:r>
    </w:p>
    <w:p w:rsidR="00614B3B" w:rsidRDefault="00614B3B" w:rsidP="00614B3B">
      <w:pPr>
        <w:keepLines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Здійснення закупівлі лікарських засобів,  визначених Національним переліком основних лікарських засобів,   медичних виробів та витратних матеріалів, необхідних для надання медичної допомоги відповідно до галузевих стандартів у сфері охорони здоров’я. </w:t>
      </w:r>
    </w:p>
    <w:p w:rsidR="00614B3B" w:rsidRDefault="00614B3B" w:rsidP="00614B3B">
      <w:pPr>
        <w:keepLines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Організація ефективного управління запасами лікарських засобів, медичних виробів та витратних матеріалів, закуплених ЗОЗ або отриманих шляхом централізованих </w:t>
      </w:r>
      <w:proofErr w:type="spellStart"/>
      <w:r>
        <w:rPr>
          <w:rFonts w:ascii="Times New Roman" w:hAnsi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/>
          <w:sz w:val="24"/>
          <w:szCs w:val="24"/>
        </w:rPr>
        <w:t xml:space="preserve"> МОЗ. Використання та збереження залишків лікарських засобів та медичних виробів, необхідних для лікування пацієнтів, зокрема, після закінчення дії договору з НСЗУ. </w:t>
      </w:r>
    </w:p>
    <w:p w:rsidR="00614B3B" w:rsidRDefault="00614B3B" w:rsidP="00614B3B">
      <w:pPr>
        <w:keepLines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Забезпечення дотримання принципів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безбар’єрності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та інклюзії при наданні медичної допомоги відповідно до нормативно-правових актів.</w:t>
      </w:r>
    </w:p>
    <w:p w:rsidR="00614B3B" w:rsidRDefault="00614B3B" w:rsidP="00614B3B">
      <w:pPr>
        <w:keepLines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Дотримання вимог законодавства у сфері протидії насильству, зокрема, виявлення ознак насильства у  пацієнтів та повідомлення відповідних служб згідно із затвердженим законодавством. </w:t>
      </w:r>
    </w:p>
    <w:p w:rsidR="00614B3B" w:rsidRDefault="00614B3B" w:rsidP="00614B3B">
      <w:pPr>
        <w:keepLines/>
        <w:numPr>
          <w:ilvl w:val="0"/>
          <w:numId w:val="2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свобод, Конвенції про права осіб з інвалідністю, Конвенції про права дитини та інших міжнародних договорів, ратифікованих Україною.</w:t>
      </w:r>
    </w:p>
    <w:p w:rsidR="00614B3B" w:rsidRDefault="00614B3B" w:rsidP="00614B3B">
      <w:pPr>
        <w:keepLines/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14B3B" w:rsidRDefault="00614B3B" w:rsidP="00614B3B">
      <w:pPr>
        <w:keepLines/>
        <w:shd w:val="clear" w:color="auto" w:fill="FFFFFF"/>
        <w:spacing w:before="240" w:after="240" w:line="276" w:lineRule="auto"/>
        <w:ind w:firstLine="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Вимоги до спеціалістів та кількості фахівців, які працюють на посадах: </w:t>
      </w:r>
    </w:p>
    <w:p w:rsidR="00614B3B" w:rsidRDefault="00614B3B" w:rsidP="00614B3B">
      <w:pPr>
        <w:keepLines/>
        <w:shd w:val="clear" w:color="auto" w:fill="FFFFFF"/>
        <w:spacing w:after="0" w:line="276" w:lineRule="auto"/>
        <w:ind w:left="7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  За місцем надання медичних послуг: </w:t>
      </w:r>
    </w:p>
    <w:p w:rsidR="00614B3B" w:rsidRDefault="00614B3B" w:rsidP="00614B3B">
      <w:pPr>
        <w:keepLines/>
        <w:shd w:val="clear" w:color="auto" w:fill="FFFFFF"/>
        <w:spacing w:after="0" w:line="276" w:lineRule="auto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              Лікар-нефролог та/або лікар-нефролог дитячий (за умови надання допомоги дітям) – щонайменше одна особа із зазначеного переліку, яка працює за основним місцем роботи у цьому закладі або </w:t>
      </w:r>
      <w:r>
        <w:rPr>
          <w:rFonts w:ascii="Times New Roman" w:hAnsi="Times New Roman"/>
          <w:b/>
          <w:sz w:val="24"/>
          <w:szCs w:val="24"/>
        </w:rPr>
        <w:t>за сумісництвом</w:t>
      </w:r>
      <w:r>
        <w:rPr>
          <w:rFonts w:ascii="Times New Roman" w:hAnsi="Times New Roman"/>
          <w:color w:val="0070C0"/>
          <w:sz w:val="24"/>
          <w:szCs w:val="24"/>
        </w:rPr>
        <w:t xml:space="preserve">. </w:t>
      </w:r>
    </w:p>
    <w:p w:rsidR="00614B3B" w:rsidRDefault="00614B3B" w:rsidP="00614B3B">
      <w:pPr>
        <w:keepLines/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              Сестра медична (брат медичний) – щонайменше 2 особи, які працюють за основним місцем роботи у цьому закладі. </w:t>
      </w:r>
    </w:p>
    <w:p w:rsidR="00614B3B" w:rsidRDefault="00614B3B" w:rsidP="00614B3B">
      <w:pPr>
        <w:keepLines/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14B3B" w:rsidRDefault="00614B3B" w:rsidP="00614B3B">
      <w:pPr>
        <w:keepLines/>
        <w:shd w:val="clear" w:color="auto" w:fill="FFFFFF"/>
        <w:spacing w:after="240"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Вимоги до переліку обладнання: </w:t>
      </w:r>
    </w:p>
    <w:p w:rsidR="00614B3B" w:rsidRDefault="00614B3B" w:rsidP="00614B3B">
      <w:pPr>
        <w:keepLines/>
        <w:shd w:val="clear" w:color="auto" w:fill="FFFFFF"/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  <w:t xml:space="preserve">У закладі: </w:t>
      </w:r>
    </w:p>
    <w:p w:rsidR="00614B3B" w:rsidRDefault="00614B3B" w:rsidP="00614B3B">
      <w:pPr>
        <w:keepLines/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              резервне джерело електропостачання; </w:t>
      </w:r>
    </w:p>
    <w:p w:rsidR="00614B3B" w:rsidRDefault="00614B3B" w:rsidP="00614B3B">
      <w:pPr>
        <w:keepLines/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              автоматичне перемикальне комутаційне обладнання відповідно до ДСТУ IEC 60947-6-1: 2007. </w:t>
      </w:r>
    </w:p>
    <w:p w:rsidR="00614B3B" w:rsidRDefault="00614B3B" w:rsidP="00614B3B">
      <w:pPr>
        <w:keepLines/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            За місцем надання медичних послуг: </w:t>
      </w:r>
    </w:p>
    <w:p w:rsidR="00614B3B" w:rsidRDefault="00614B3B" w:rsidP="00614B3B">
      <w:pPr>
        <w:keepLines/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              приєднання внутрішніх мереж відділення до автономного резервного джерела електропостачання відповідно до нормативно-технічних документів; </w:t>
      </w:r>
    </w:p>
    <w:p w:rsidR="00614B3B" w:rsidRDefault="00614B3B" w:rsidP="00614B3B">
      <w:pPr>
        <w:keepLines/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              апарат для проведення гемодіалізу; </w:t>
      </w:r>
    </w:p>
    <w:p w:rsidR="00614B3B" w:rsidRDefault="00614B3B" w:rsidP="00614B3B">
      <w:pPr>
        <w:keepLines/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              спеціалізована сертифікована система очищення води для гемодіалізу разом з контуром </w:t>
      </w:r>
      <w:proofErr w:type="spellStart"/>
      <w:r>
        <w:rPr>
          <w:rFonts w:ascii="Times New Roman" w:hAnsi="Times New Roman"/>
          <w:sz w:val="24"/>
          <w:szCs w:val="24"/>
        </w:rPr>
        <w:t>перміату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614B3B" w:rsidRDefault="00614B3B" w:rsidP="00614B3B">
      <w:pPr>
        <w:keepLines/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              електрокардіограф багатоканальний; </w:t>
      </w:r>
    </w:p>
    <w:p w:rsidR="00614B3B" w:rsidRDefault="00614B3B" w:rsidP="00614B3B">
      <w:pPr>
        <w:keepLines/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e.               портативний дефібрилятор з функцією синхронізації; </w:t>
      </w:r>
    </w:p>
    <w:p w:rsidR="00614B3B" w:rsidRDefault="00614B3B" w:rsidP="00614B3B">
      <w:pPr>
        <w:keepLines/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f.                тонометр та/або тонометр педіатричний з манжетками для дітей різного віку; </w:t>
      </w:r>
    </w:p>
    <w:p w:rsidR="00614B3B" w:rsidRDefault="00614B3B" w:rsidP="00614B3B">
      <w:pPr>
        <w:keepLines/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g.               ваги медичні; </w:t>
      </w:r>
    </w:p>
    <w:p w:rsidR="00614B3B" w:rsidRDefault="00614B3B" w:rsidP="00614B3B">
      <w:pPr>
        <w:keepLines/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h.              мішок ручної вентиляції </w:t>
      </w:r>
      <w:proofErr w:type="spellStart"/>
      <w:r>
        <w:rPr>
          <w:rFonts w:ascii="Times New Roman" w:hAnsi="Times New Roman"/>
          <w:sz w:val="24"/>
          <w:szCs w:val="24"/>
        </w:rPr>
        <w:t>легенів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614B3B" w:rsidRDefault="00614B3B" w:rsidP="00614B3B">
      <w:pPr>
        <w:keepLines/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i.                </w:t>
      </w:r>
      <w:proofErr w:type="spellStart"/>
      <w:r>
        <w:rPr>
          <w:rFonts w:ascii="Times New Roman" w:hAnsi="Times New Roman"/>
          <w:sz w:val="24"/>
          <w:szCs w:val="24"/>
        </w:rPr>
        <w:t>глюкометр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614B3B" w:rsidRDefault="00614B3B" w:rsidP="00614B3B">
      <w:pPr>
        <w:keepLines/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j.                термометр безконтактний; </w:t>
      </w:r>
    </w:p>
    <w:p w:rsidR="00614B3B" w:rsidRDefault="00614B3B" w:rsidP="00614B3B">
      <w:pPr>
        <w:keepLines/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k.               аптечка для надання невідкладної допомоги. </w:t>
      </w:r>
    </w:p>
    <w:p w:rsidR="00614B3B" w:rsidRDefault="00614B3B" w:rsidP="00614B3B">
      <w:pPr>
        <w:keepLines/>
        <w:shd w:val="clear" w:color="auto" w:fill="FFFFFF"/>
        <w:spacing w:before="240" w:after="240" w:line="276" w:lineRule="auto"/>
        <w:ind w:firstLine="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Інші вимоги: </w:t>
      </w:r>
    </w:p>
    <w:p w:rsidR="00614B3B" w:rsidRDefault="00614B3B" w:rsidP="00614B3B">
      <w:pPr>
        <w:keepLines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Наявність ліцензії на провадження господарської діяльності з медичної практики за спеціальністю нефрологія та/або дитяча нефрологія.</w:t>
      </w:r>
    </w:p>
    <w:p w:rsidR="00A94EFD" w:rsidRDefault="00A94EFD">
      <w:bookmarkStart w:id="0" w:name="_GoBack"/>
      <w:bookmarkEnd w:id="0"/>
    </w:p>
    <w:sectPr w:rsidR="00A94E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B1D11"/>
    <w:multiLevelType w:val="multilevel"/>
    <w:tmpl w:val="EA3A5C00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2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EA471D"/>
    <w:multiLevelType w:val="multilevel"/>
    <w:tmpl w:val="E2D0F5B4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290655"/>
    <w:multiLevelType w:val="multilevel"/>
    <w:tmpl w:val="A94A10A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F84719"/>
    <w:multiLevelType w:val="multilevel"/>
    <w:tmpl w:val="B48CFC7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2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FB6ABA"/>
    <w:multiLevelType w:val="multilevel"/>
    <w:tmpl w:val="630641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975E36"/>
    <w:multiLevelType w:val="multilevel"/>
    <w:tmpl w:val="A48AF5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B75A07"/>
    <w:multiLevelType w:val="multilevel"/>
    <w:tmpl w:val="E2D80DBA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3B"/>
    <w:rsid w:val="00614B3B"/>
    <w:rsid w:val="00A9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FF780-2AAA-4BEE-96D3-09746C8D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B3B"/>
    <w:rPr>
      <w:rFonts w:ascii="Aptos" w:eastAsia="Times New Roman" w:hAnsi="Aptos" w:cs="Times New Roman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614B3B"/>
    <w:pPr>
      <w:keepNext/>
      <w:keepLines/>
      <w:spacing w:before="360" w:after="80"/>
      <w:outlineLvl w:val="0"/>
    </w:pPr>
    <w:rPr>
      <w:color w:val="2F5496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B3B"/>
    <w:rPr>
      <w:rFonts w:ascii="Aptos" w:eastAsia="Times New Roman" w:hAnsi="Aptos" w:cs="Times New Roman"/>
      <w:color w:val="2F5496" w:themeColor="accent1" w:themeShade="BF"/>
      <w:sz w:val="40"/>
      <w:szCs w:val="40"/>
      <w:lang w:eastAsia="uk-UA"/>
    </w:rPr>
  </w:style>
  <w:style w:type="paragraph" w:styleId="a3">
    <w:name w:val="List Paragraph"/>
    <w:basedOn w:val="a"/>
    <w:qFormat/>
    <w:rsid w:val="00614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4931</Words>
  <Characters>2812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NHSU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Омельченко</dc:creator>
  <cp:keywords/>
  <dc:description/>
  <cp:lastModifiedBy>Богдан Омельченко</cp:lastModifiedBy>
  <cp:revision>1</cp:revision>
  <dcterms:created xsi:type="dcterms:W3CDTF">2024-05-21T09:06:00Z</dcterms:created>
  <dcterms:modified xsi:type="dcterms:W3CDTF">2024-05-21T09:06:00Z</dcterms:modified>
</cp:coreProperties>
</file>