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E1" w:rsidRDefault="006C62E1" w:rsidP="006C62E1">
      <w:pPr>
        <w:pStyle w:val="1"/>
        <w:shd w:val="clear" w:color="auto" w:fill="FFFFFF"/>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6C62E1" w:rsidRDefault="006C62E1" w:rsidP="006C62E1">
      <w:pPr>
        <w:shd w:val="clear" w:color="auto" w:fill="FFFFFF"/>
        <w:spacing w:after="0" w:line="240" w:lineRule="auto"/>
        <w:jc w:val="center"/>
        <w:rPr>
          <w:rFonts w:ascii="Times New Roman" w:hAnsi="Times New Roman"/>
          <w:b/>
          <w:sz w:val="24"/>
          <w:szCs w:val="24"/>
          <w:highlight w:val="white"/>
        </w:rPr>
      </w:pPr>
    </w:p>
    <w:p w:rsidR="006C62E1" w:rsidRDefault="006C62E1" w:rsidP="006C62E1">
      <w:pPr>
        <w:shd w:val="clear" w:color="auto" w:fill="FFFFFF"/>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Обсяг медичних послуг, який надавач зобов’язується надавати за договором відповідно до медичних потреб пацієнта/пацієнтки (специфікація)</w:t>
      </w:r>
    </w:p>
    <w:p w:rsidR="006C62E1" w:rsidRDefault="006C62E1" w:rsidP="006C62E1">
      <w:pPr>
        <w:shd w:val="clear" w:color="auto" w:fill="FFFFFF"/>
        <w:spacing w:after="0" w:line="240" w:lineRule="auto"/>
        <w:jc w:val="center"/>
        <w:rPr>
          <w:rFonts w:ascii="Times New Roman" w:hAnsi="Times New Roman"/>
          <w:sz w:val="24"/>
          <w:szCs w:val="24"/>
        </w:rPr>
      </w:pP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лікування осіб із розладами психіки та поведінки внаслідок вживання </w:t>
      </w:r>
      <w:proofErr w:type="spellStart"/>
      <w:r>
        <w:rPr>
          <w:rFonts w:ascii="Times New Roman" w:hAnsi="Times New Roman"/>
          <w:sz w:val="24"/>
          <w:szCs w:val="24"/>
        </w:rPr>
        <w:t>опіоїдів</w:t>
      </w:r>
      <w:proofErr w:type="spellEnd"/>
      <w:r>
        <w:rPr>
          <w:rFonts w:ascii="Times New Roman" w:hAnsi="Times New Roman"/>
          <w:sz w:val="24"/>
          <w:szCs w:val="24"/>
        </w:rPr>
        <w:t xml:space="preserve"> із використанням препаратів замісної підтримувальної терапії (ЗПТ) відповідно до галузевих стандартів.</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Складання плану лікування:</w:t>
      </w:r>
    </w:p>
    <w:p w:rsidR="006C62E1" w:rsidRDefault="006C62E1" w:rsidP="006C62E1">
      <w:pPr>
        <w:numPr>
          <w:ilvl w:val="0"/>
          <w:numId w:val="1"/>
        </w:num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оцінка стану та потреб пацієнта/пацієнтки;</w:t>
      </w:r>
    </w:p>
    <w:p w:rsidR="006C62E1" w:rsidRDefault="006C62E1" w:rsidP="006C62E1">
      <w:pPr>
        <w:numPr>
          <w:ilvl w:val="0"/>
          <w:numId w:val="1"/>
        </w:num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розробка плану спостереження та лікування;</w:t>
      </w:r>
    </w:p>
    <w:p w:rsidR="006C62E1" w:rsidRDefault="006C62E1" w:rsidP="006C62E1">
      <w:pPr>
        <w:numPr>
          <w:ilvl w:val="0"/>
          <w:numId w:val="1"/>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оцінка прихильності до лікування, визначення чинників, які негативно впливають на її формування, та проведення відповідного коригування плану лікування;</w:t>
      </w:r>
    </w:p>
    <w:p w:rsidR="006C62E1" w:rsidRDefault="006C62E1" w:rsidP="006C62E1">
      <w:pPr>
        <w:numPr>
          <w:ilvl w:val="0"/>
          <w:numId w:val="1"/>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 xml:space="preserve">оцінка соціального статусу та соціальних проблем, пов’язаних із вживанням </w:t>
      </w:r>
      <w:proofErr w:type="spellStart"/>
      <w:r>
        <w:rPr>
          <w:rFonts w:ascii="Times New Roman" w:hAnsi="Times New Roman"/>
          <w:sz w:val="24"/>
          <w:szCs w:val="24"/>
        </w:rPr>
        <w:t>опіоїдів</w:t>
      </w:r>
      <w:proofErr w:type="spellEnd"/>
      <w:r>
        <w:rPr>
          <w:rFonts w:ascii="Times New Roman" w:hAnsi="Times New Roman"/>
          <w:sz w:val="24"/>
          <w:szCs w:val="24"/>
        </w:rPr>
        <w:t>.</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Видача препаратів для їх прийому під безпосереднім контролем надавача послуг за місцем надання медичних послуг, для самостійного прийому або для прийому під час госпіталізації пацієнта/пацієнтки. </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Моніторинг лікування:</w:t>
      </w:r>
    </w:p>
    <w:p w:rsidR="006C62E1" w:rsidRDefault="006C62E1" w:rsidP="006C62E1">
      <w:pPr>
        <w:numPr>
          <w:ilvl w:val="0"/>
          <w:numId w:val="6"/>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контроль своєчасності та регулярності відвідувань надавача послуг відповідно до плану лікування;</w:t>
      </w:r>
    </w:p>
    <w:p w:rsidR="006C62E1" w:rsidRDefault="006C62E1" w:rsidP="006C62E1">
      <w:pPr>
        <w:numPr>
          <w:ilvl w:val="0"/>
          <w:numId w:val="6"/>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моніторинг виконання направлень для отримання інших послуг та врахування їх результатів;</w:t>
      </w:r>
    </w:p>
    <w:p w:rsidR="006C62E1" w:rsidRDefault="006C62E1" w:rsidP="006C62E1">
      <w:pPr>
        <w:numPr>
          <w:ilvl w:val="0"/>
          <w:numId w:val="6"/>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відслідковування побічних реакцій та ефективності препаратів ЗПТ, включаючи перегляд індивідуальних доз;</w:t>
      </w:r>
    </w:p>
    <w:p w:rsidR="006C62E1" w:rsidRDefault="006C62E1" w:rsidP="006C62E1">
      <w:pPr>
        <w:numPr>
          <w:ilvl w:val="0"/>
          <w:numId w:val="6"/>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 xml:space="preserve">врахування особливостей взаємодії препаратів ЗПТ з іншими лікарськими засобами, зокрема, </w:t>
      </w:r>
      <w:proofErr w:type="spellStart"/>
      <w:r>
        <w:rPr>
          <w:rFonts w:ascii="Times New Roman" w:hAnsi="Times New Roman"/>
          <w:sz w:val="24"/>
          <w:szCs w:val="24"/>
        </w:rPr>
        <w:t>антиретровірусними</w:t>
      </w:r>
      <w:proofErr w:type="spellEnd"/>
      <w:r>
        <w:rPr>
          <w:rFonts w:ascii="Times New Roman" w:hAnsi="Times New Roman"/>
          <w:sz w:val="24"/>
          <w:szCs w:val="24"/>
        </w:rPr>
        <w:t>, протитуберкульозними, знеболювальними препаратами, антидепресантами тощо;</w:t>
      </w:r>
    </w:p>
    <w:p w:rsidR="006C62E1" w:rsidRDefault="006C62E1" w:rsidP="006C62E1">
      <w:pPr>
        <w:numPr>
          <w:ilvl w:val="0"/>
          <w:numId w:val="6"/>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дослідження біологічного матеріалу</w:t>
      </w:r>
      <w:r>
        <w:rPr>
          <w:rFonts w:ascii="Times New Roman" w:hAnsi="Times New Roman"/>
          <w:b/>
          <w:sz w:val="24"/>
          <w:szCs w:val="24"/>
        </w:rPr>
        <w:t xml:space="preserve"> </w:t>
      </w:r>
      <w:r>
        <w:rPr>
          <w:rFonts w:ascii="Times New Roman" w:hAnsi="Times New Roman"/>
          <w:sz w:val="24"/>
          <w:szCs w:val="24"/>
        </w:rPr>
        <w:t>(сечі) на наявність в організмі хворого інших наркотичних засобів ніж ті, що призначені лікарем.</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Скринінг психічних розладів, зокрема:</w:t>
      </w:r>
    </w:p>
    <w:p w:rsidR="006C62E1" w:rsidRDefault="006C62E1" w:rsidP="006C62E1">
      <w:pPr>
        <w:numPr>
          <w:ilvl w:val="0"/>
          <w:numId w:val="4"/>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 xml:space="preserve">скринінг, який здійснюється на початку лікування та в динаміці, відповідно до стандартів лікування пацієнта/пацієнтки з </w:t>
      </w:r>
      <w:proofErr w:type="spellStart"/>
      <w:r>
        <w:rPr>
          <w:rFonts w:ascii="Times New Roman" w:hAnsi="Times New Roman"/>
          <w:sz w:val="24"/>
          <w:szCs w:val="24"/>
        </w:rPr>
        <w:t>опіоїдною</w:t>
      </w:r>
      <w:proofErr w:type="spellEnd"/>
      <w:r>
        <w:rPr>
          <w:rFonts w:ascii="Times New Roman" w:hAnsi="Times New Roman"/>
          <w:sz w:val="24"/>
          <w:szCs w:val="24"/>
        </w:rPr>
        <w:t xml:space="preserve"> залежністю, на наявність депресії, тривожних розладів, розладів особистості та посттравматичних стресових розладів і</w:t>
      </w:r>
      <w:r>
        <w:rPr>
          <w:rFonts w:ascii="Times New Roman" w:hAnsi="Times New Roman"/>
          <w:b/>
          <w:sz w:val="24"/>
          <w:szCs w:val="24"/>
        </w:rPr>
        <w:t xml:space="preserve"> </w:t>
      </w:r>
      <w:r>
        <w:rPr>
          <w:rFonts w:ascii="Times New Roman" w:hAnsi="Times New Roman"/>
          <w:sz w:val="24"/>
          <w:szCs w:val="24"/>
        </w:rPr>
        <w:t>скринінг на проблемне вживання алкоголю;</w:t>
      </w:r>
    </w:p>
    <w:p w:rsidR="006C62E1" w:rsidRDefault="006C62E1" w:rsidP="006C62E1">
      <w:pPr>
        <w:numPr>
          <w:ilvl w:val="0"/>
          <w:numId w:val="4"/>
        </w:numPr>
        <w:shd w:val="clear" w:color="auto" w:fill="FFFFFF"/>
        <w:spacing w:after="0" w:line="240" w:lineRule="auto"/>
        <w:ind w:left="709" w:hanging="283"/>
        <w:jc w:val="both"/>
        <w:rPr>
          <w:rFonts w:ascii="Times New Roman" w:hAnsi="Times New Roman"/>
          <w:sz w:val="24"/>
          <w:szCs w:val="24"/>
        </w:rPr>
      </w:pPr>
      <w:r>
        <w:rPr>
          <w:rFonts w:ascii="Times New Roman" w:hAnsi="Times New Roman"/>
          <w:sz w:val="24"/>
          <w:szCs w:val="24"/>
        </w:rPr>
        <w:t>скерування пацієнта/пацієнтки для подальшої діагностики та встановлення діагнозу у випадку позитивних результатів скринінгу, у разі такої необхідності.</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Скринінг на ТБ, ВІЛ і вірусні гепатити та направлення пацієнта/пацієнтки у разі підозри для подальшої діагностики та лікування до відповідних закладів охорони здоров’я (ЗОЗ).</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Консультування та інформування щодо профілактики інфікування ВІЛ, вірусними гепатитами, інфекціями, що передаються статевим шляхом, передозувань та ризиків, пов’язаних із вживанням психоактивних речовин.</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Направлення пацієнта/пацієнтки для отримання спеціалізованої медичної допомоги, інших медичних послуг.</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Інформування пацієнта/пацієнтки щодо можливості отримання соціальних та психологічних послуг, визначення потреб у таких послугах та скерування до місць їх надання.</w:t>
      </w:r>
    </w:p>
    <w:p w:rsidR="006C62E1" w:rsidRDefault="006C62E1" w:rsidP="006C62E1">
      <w:pPr>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6C62E1" w:rsidRDefault="006C62E1" w:rsidP="006C62E1">
      <w:pPr>
        <w:shd w:val="clear" w:color="auto" w:fill="FFFFFF"/>
        <w:spacing w:before="240" w:after="240" w:line="240" w:lineRule="auto"/>
        <w:jc w:val="both"/>
        <w:rPr>
          <w:rFonts w:ascii="Times New Roman" w:hAnsi="Times New Roman"/>
          <w:sz w:val="24"/>
          <w:szCs w:val="24"/>
        </w:rPr>
      </w:pPr>
      <w:r>
        <w:rPr>
          <w:rFonts w:ascii="Times New Roman" w:hAnsi="Times New Roman"/>
          <w:sz w:val="24"/>
          <w:szCs w:val="24"/>
        </w:rPr>
        <w:t> </w:t>
      </w:r>
    </w:p>
    <w:p w:rsidR="006C62E1" w:rsidRDefault="006C62E1" w:rsidP="006C62E1">
      <w:pPr>
        <w:shd w:val="clear" w:color="auto" w:fill="FFFFFF"/>
        <w:spacing w:after="0" w:line="240" w:lineRule="auto"/>
        <w:ind w:left="700"/>
        <w:jc w:val="center"/>
        <w:rPr>
          <w:rFonts w:ascii="Times New Roman" w:hAnsi="Times New Roman"/>
          <w:sz w:val="24"/>
          <w:szCs w:val="24"/>
        </w:rPr>
      </w:pPr>
      <w:r>
        <w:rPr>
          <w:rFonts w:ascii="Times New Roman" w:hAnsi="Times New Roman"/>
          <w:b/>
          <w:sz w:val="24"/>
          <w:szCs w:val="24"/>
        </w:rPr>
        <w:lastRenderedPageBreak/>
        <w:t>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6C62E1" w:rsidRDefault="006C62E1" w:rsidP="006C62E1">
      <w:pPr>
        <w:shd w:val="clear" w:color="auto" w:fill="FFFFFF"/>
        <w:spacing w:before="240" w:after="0" w:line="240" w:lineRule="auto"/>
        <w:jc w:val="center"/>
        <w:rPr>
          <w:rFonts w:ascii="Times New Roman" w:hAnsi="Times New Roman"/>
          <w:b/>
          <w:sz w:val="24"/>
          <w:szCs w:val="24"/>
          <w:highlight w:val="white"/>
        </w:rPr>
      </w:pPr>
      <w:r>
        <w:rPr>
          <w:rFonts w:ascii="Times New Roman" w:hAnsi="Times New Roman"/>
          <w:b/>
          <w:sz w:val="24"/>
          <w:szCs w:val="24"/>
          <w:highlight w:val="white"/>
        </w:rPr>
        <w:t>Умови закупівлі медичних послуг</w:t>
      </w:r>
    </w:p>
    <w:p w:rsidR="006C62E1" w:rsidRDefault="006C62E1" w:rsidP="006C62E1">
      <w:pPr>
        <w:shd w:val="clear" w:color="auto" w:fill="FFFFFF"/>
        <w:spacing w:before="240" w:after="0" w:line="240" w:lineRule="auto"/>
        <w:jc w:val="center"/>
        <w:rPr>
          <w:rFonts w:ascii="Times New Roman" w:hAnsi="Times New Roman"/>
          <w:sz w:val="24"/>
          <w:szCs w:val="24"/>
        </w:rPr>
      </w:pPr>
    </w:p>
    <w:p w:rsidR="006C62E1" w:rsidRDefault="006C62E1" w:rsidP="006C62E1">
      <w:pPr>
        <w:shd w:val="clear" w:color="auto" w:fill="FFFFFF"/>
        <w:spacing w:after="0" w:line="240" w:lineRule="auto"/>
        <w:jc w:val="both"/>
        <w:rPr>
          <w:rFonts w:ascii="Times New Roman" w:hAnsi="Times New Roman"/>
          <w:sz w:val="24"/>
          <w:szCs w:val="24"/>
        </w:rPr>
      </w:pPr>
      <w:r>
        <w:rPr>
          <w:rFonts w:ascii="Times New Roman" w:hAnsi="Times New Roman"/>
          <w:i/>
          <w:sz w:val="24"/>
          <w:szCs w:val="24"/>
          <w:highlight w:val="white"/>
        </w:rPr>
        <w:t xml:space="preserve">Умови надання послуги: </w:t>
      </w:r>
      <w:r>
        <w:rPr>
          <w:rFonts w:ascii="Times New Roman" w:hAnsi="Times New Roman"/>
          <w:sz w:val="24"/>
          <w:szCs w:val="24"/>
          <w:highlight w:val="white"/>
        </w:rPr>
        <w:t>амбулаторно та/або за місцем перебування пацієнта/пацієнтки.</w:t>
      </w:r>
    </w:p>
    <w:p w:rsidR="006C62E1" w:rsidRDefault="006C62E1" w:rsidP="006C62E1">
      <w:pPr>
        <w:shd w:val="clear" w:color="auto" w:fill="FFFFFF"/>
        <w:spacing w:after="0" w:line="240" w:lineRule="auto"/>
        <w:jc w:val="both"/>
        <w:rPr>
          <w:rFonts w:ascii="Times New Roman" w:hAnsi="Times New Roman"/>
          <w:sz w:val="24"/>
          <w:szCs w:val="24"/>
        </w:rPr>
      </w:pPr>
      <w:r>
        <w:rPr>
          <w:rFonts w:ascii="Times New Roman" w:hAnsi="Times New Roman"/>
          <w:i/>
          <w:sz w:val="24"/>
          <w:szCs w:val="24"/>
          <w:highlight w:val="white"/>
        </w:rPr>
        <w:t xml:space="preserve">Підстави надання послуги: </w:t>
      </w:r>
      <w:r>
        <w:rPr>
          <w:rFonts w:ascii="Times New Roman" w:hAnsi="Times New Roman"/>
          <w:sz w:val="24"/>
          <w:szCs w:val="24"/>
          <w:highlight w:val="white"/>
        </w:rPr>
        <w:t xml:space="preserve">направлення лікуючого лікаря осіб із встановленим діагнозом </w:t>
      </w:r>
      <w:r>
        <w:rPr>
          <w:rFonts w:ascii="Times New Roman" w:hAnsi="Times New Roman"/>
          <w:sz w:val="24"/>
          <w:szCs w:val="24"/>
        </w:rPr>
        <w:t>F11.2 «Синдром залежності</w:t>
      </w:r>
      <w:r>
        <w:rPr>
          <w:rFonts w:ascii="Times New Roman" w:hAnsi="Times New Roman"/>
          <w:sz w:val="24"/>
          <w:szCs w:val="24"/>
          <w:highlight w:val="white"/>
        </w:rPr>
        <w:t>».</w:t>
      </w:r>
    </w:p>
    <w:p w:rsidR="006C62E1" w:rsidRDefault="006C62E1" w:rsidP="006C62E1">
      <w:pPr>
        <w:shd w:val="clear" w:color="auto" w:fill="FFFFFF"/>
        <w:spacing w:after="0" w:line="240" w:lineRule="auto"/>
        <w:jc w:val="both"/>
        <w:rPr>
          <w:rFonts w:ascii="Times New Roman" w:hAnsi="Times New Roman"/>
          <w:i/>
          <w:sz w:val="24"/>
          <w:szCs w:val="24"/>
          <w:highlight w:val="white"/>
        </w:rPr>
      </w:pPr>
    </w:p>
    <w:p w:rsidR="006C62E1" w:rsidRDefault="006C62E1" w:rsidP="006C62E1">
      <w:pPr>
        <w:shd w:val="clear" w:color="auto" w:fill="FFFFFF"/>
        <w:spacing w:after="0" w:line="240" w:lineRule="auto"/>
        <w:jc w:val="both"/>
        <w:rPr>
          <w:rFonts w:ascii="Times New Roman" w:hAnsi="Times New Roman"/>
          <w:sz w:val="24"/>
          <w:szCs w:val="24"/>
        </w:rPr>
      </w:pPr>
      <w:r>
        <w:rPr>
          <w:rFonts w:ascii="Times New Roman" w:hAnsi="Times New Roman"/>
          <w:i/>
          <w:sz w:val="24"/>
          <w:szCs w:val="24"/>
          <w:highlight w:val="white"/>
        </w:rPr>
        <w:t>Вимоги до організації надання послуги:</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лікування з використанням препаратів ЗПТ, відповідно до галузевих стандартів.</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Проведення оцінки прихильності пацієнтів, а також їх відповідності вимогам щодо самостійного прийому препарату ЗПТ в амбулаторних умовах, зокрема,  в умовах організованого стаціонару вдома, та у випадку ухвалення рішення щодо можливості такого прийому – організація його видачі.</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Організація щоденної видачі препаратів, лікарських засобів пацієнтам, які не відповідають критеріям для самостійного прийому препарату ЗПТ, включаючи вихідні та святкові дні, а також організація нагляду за прийманням ними призначених препаратів медичною сестрою.</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Організація доставки препаратів пацієнтам за місцем перебування у випадку неможливості щоденного відвідування ними закладу охорони здоров'я (ЗОЗ) за станом здоров'я.</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безперервності лікування та продовження ЗПТ пацієнтам у випадку їх госпіталізації або затримання правоохоронними органами (надання необхідних документів, видача  препаратів) відповідно до галузевих стандартів у сфері охорони здоров’я.</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контролю за цільовим використанням препарату ЗПТ, що видано для самостійного прийому в амбулаторних умовах, зокрема,  в умовах організованого стаціонару вдома, шляхом перевірки залишків не рідше 1 разу на 30 діб.</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перегляду плану лікування один раз на квартал на початковому етапі (до 1 року) та індивідуально, залежно від потреб пацієнтів, після одного року лікування.</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Забезпечити епідеміологічний та клінічний моніторинг ЗПТ, облік препаратів ЗПТ, запобігання дублювання послуг ЗПТ і звітування щодо кількісних і якісних неперсоніфікованих даних пацієнтів ЗПТ до ДУ «Центр громадського здоров’я» через Інформаційну Систему «Моніторинг соціально значущих </w:t>
      </w:r>
      <w:proofErr w:type="spellStart"/>
      <w:r>
        <w:rPr>
          <w:rFonts w:ascii="Times New Roman" w:hAnsi="Times New Roman"/>
          <w:sz w:val="24"/>
          <w:szCs w:val="24"/>
        </w:rPr>
        <w:t>хвороб</w:t>
      </w:r>
      <w:proofErr w:type="spellEnd"/>
      <w:r>
        <w:rPr>
          <w:rFonts w:ascii="Times New Roman" w:hAnsi="Times New Roman"/>
          <w:sz w:val="24"/>
          <w:szCs w:val="24"/>
        </w:rPr>
        <w:t>.</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в інтересах своєчасного та ефективного надання допомоги пацієнтам.</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Відповідність приміщення, в якому зберігаються препарати ЗПТ, вимогам до об’єктів і приміщень, призначених для здійснення діяльності з обігу наркотичних засобів, психотропних речовин, прекурсорів, що затверджені наказом Міністерства внутрішніх справ України від 29.01.2018 № 52, зареєстрованим у Міністерстві юстиції України від 20.02.2018, в обсягах, визначених пунктами 22, 23 Порядку придбання, перевезення, зберігання, відпуску, використання та знищення наркотичних засобів, психотропних речовин і прекурсорів у закладах охорони здоров’я, затвердженого постановою Кабінету Міністрів України від 13.05.2013 № 333.</w:t>
      </w:r>
    </w:p>
    <w:p w:rsidR="006C62E1" w:rsidRDefault="006C62E1" w:rsidP="006C62E1">
      <w:pPr>
        <w:numPr>
          <w:ilvl w:val="0"/>
          <w:numId w:val="2"/>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highlight w:val="white"/>
        </w:rPr>
        <w:lastRenderedPageBreak/>
        <w:t>Наявність плану дій з профілактики інфекцій та інфекційного контролю та стандартних операційних процедур, відповідно до чинного законодавства.</w:t>
      </w:r>
      <w:r>
        <w:rPr>
          <w:rFonts w:ascii="Times New Roman" w:hAnsi="Times New Roman"/>
          <w:b/>
          <w:sz w:val="24"/>
          <w:szCs w:val="24"/>
        </w:rPr>
        <w:t>.</w:t>
      </w:r>
    </w:p>
    <w:p w:rsidR="006C62E1" w:rsidRDefault="006C62E1" w:rsidP="006C62E1">
      <w:pPr>
        <w:numPr>
          <w:ilvl w:val="0"/>
          <w:numId w:val="2"/>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highlight w:val="white"/>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highlight w:val="white"/>
        </w:rPr>
        <w:t>хвороб</w:t>
      </w:r>
      <w:proofErr w:type="spellEnd"/>
      <w:r>
        <w:rPr>
          <w:rFonts w:ascii="Times New Roman" w:hAnsi="Times New Roman"/>
          <w:b/>
          <w:sz w:val="24"/>
          <w:szCs w:val="24"/>
          <w:highlight w:val="white"/>
        </w:rPr>
        <w:t>.</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Організація, планування, отримання та управління запасами лікарських засобів, зокрема,  організація та забезпечення доставки, зберігання та використання препаратів та ведення їх обліку.</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Використання та збереження залишків лікарських засобів та медичних виробів, необхідних для лікування пацієнтів, зокрема,  після закінчення дії договору.</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 </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6C62E1" w:rsidRDefault="006C62E1" w:rsidP="006C62E1">
      <w:pPr>
        <w:numPr>
          <w:ilvl w:val="0"/>
          <w:numId w:val="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Дотримання толерантного ставлення до пацієнтів під час надання медичних послуг  та забезпечення конфіденційності відповідних медичних даних.</w:t>
      </w:r>
    </w:p>
    <w:p w:rsidR="006C62E1" w:rsidRDefault="006C62E1" w:rsidP="006C62E1">
      <w:pPr>
        <w:numPr>
          <w:ilvl w:val="0"/>
          <w:numId w:val="2"/>
        </w:numPr>
        <w:shd w:val="clear" w:color="auto" w:fill="FFFFFF"/>
        <w:spacing w:after="240" w:line="240" w:lineRule="auto"/>
        <w:jc w:val="both"/>
        <w:rPr>
          <w:rFonts w:ascii="Times New Roman" w:hAnsi="Times New Roman"/>
          <w:sz w:val="24"/>
          <w:szCs w:val="24"/>
        </w:rPr>
      </w:pPr>
      <w:r>
        <w:rPr>
          <w:rFonts w:ascii="Times New Roman" w:hAnsi="Times New Roman"/>
          <w:sz w:val="24"/>
          <w:szCs w:val="24"/>
        </w:rPr>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6C62E1" w:rsidRDefault="006C62E1" w:rsidP="006C62E1">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highlight w:val="white"/>
        </w:rPr>
        <w:t>Вимоги до спеціалістів та кількості фахівців, які працюють на посадах:</w:t>
      </w:r>
    </w:p>
    <w:p w:rsidR="006C62E1" w:rsidRDefault="006C62E1" w:rsidP="006C62E1">
      <w:pPr>
        <w:numPr>
          <w:ilvl w:val="0"/>
          <w:numId w:val="8"/>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 місцем надання медичних послуг:</w:t>
      </w:r>
    </w:p>
    <w:p w:rsidR="006C62E1" w:rsidRDefault="006C62E1" w:rsidP="006C62E1">
      <w:pPr>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Лікар-нарколог та/або лікар-психіатр, та/або лікар будь-якої іншої спеціальності, який пройшов відповідний курс тематичного удосконалення (із ЗПТ)  – щонайменше одна особа із зазначеного переліку, яка працює за основним місцем роботи в цьому ЗОЗ або за сумісництвом.</w:t>
      </w:r>
    </w:p>
    <w:p w:rsidR="006C62E1" w:rsidRDefault="006C62E1" w:rsidP="006C62E1">
      <w:pPr>
        <w:numPr>
          <w:ilvl w:val="0"/>
          <w:numId w:val="10"/>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Сестра медична</w:t>
      </w:r>
      <w:r>
        <w:rPr>
          <w:rFonts w:ascii="Times New Roman" w:hAnsi="Times New Roman"/>
          <w:b/>
          <w:sz w:val="24"/>
          <w:szCs w:val="24"/>
        </w:rPr>
        <w:t xml:space="preserve"> </w:t>
      </w:r>
      <w:r>
        <w:rPr>
          <w:rFonts w:ascii="Times New Roman" w:hAnsi="Times New Roman"/>
          <w:sz w:val="24"/>
          <w:szCs w:val="24"/>
        </w:rPr>
        <w:t>(брат медичний) – щонайменше одна особа, яка працює за основним місцем роботи в цьому ЗОЗ або за сумісництвом.</w:t>
      </w:r>
    </w:p>
    <w:p w:rsidR="006C62E1" w:rsidRDefault="006C62E1" w:rsidP="006C62E1">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highlight w:val="white"/>
        </w:rPr>
        <w:t>Вимоги до переліку обладнання:</w:t>
      </w:r>
    </w:p>
    <w:p w:rsidR="006C62E1" w:rsidRDefault="006C62E1" w:rsidP="006C62E1">
      <w:pPr>
        <w:numPr>
          <w:ilvl w:val="0"/>
          <w:numId w:val="9"/>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 місцем надання медичних послуг:</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ваги медичні;</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глюкометр</w:t>
      </w:r>
      <w:proofErr w:type="spellEnd"/>
      <w:r>
        <w:rPr>
          <w:rFonts w:ascii="Times New Roman" w:hAnsi="Times New Roman"/>
          <w:sz w:val="24"/>
          <w:szCs w:val="24"/>
        </w:rPr>
        <w:t>;</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тонометр;</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термометр безконтактний;</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6C62E1" w:rsidRDefault="006C62E1" w:rsidP="006C62E1">
      <w:pPr>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аптечка для надання невідкладної допомоги.</w:t>
      </w:r>
    </w:p>
    <w:p w:rsidR="006C62E1" w:rsidRDefault="006C62E1" w:rsidP="006C62E1">
      <w:pPr>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highlight w:val="white"/>
        </w:rPr>
        <w:t>Інші вимоги:</w:t>
      </w:r>
    </w:p>
    <w:p w:rsidR="006C62E1" w:rsidRDefault="006C62E1" w:rsidP="006C62E1">
      <w:pPr>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ліцензії на провадження господарської діяльності з медичної практики.</w:t>
      </w:r>
    </w:p>
    <w:p w:rsidR="006C62E1" w:rsidRDefault="006C62E1" w:rsidP="006C62E1">
      <w:pPr>
        <w:numPr>
          <w:ilvl w:val="0"/>
          <w:numId w:val="7"/>
        </w:numPr>
        <w:shd w:val="clear" w:color="auto" w:fill="FFFFFF"/>
        <w:spacing w:after="0" w:line="240" w:lineRule="auto"/>
        <w:jc w:val="both"/>
        <w:rPr>
          <w:rFonts w:ascii="Times New Roman" w:hAnsi="Times New Roman"/>
          <w:sz w:val="24"/>
          <w:szCs w:val="24"/>
        </w:rPr>
      </w:pPr>
      <w:r>
        <w:rPr>
          <w:rFonts w:ascii="Times New Roman" w:hAnsi="Times New Roman"/>
          <w:sz w:val="24"/>
          <w:szCs w:val="24"/>
          <w:highlight w:val="white"/>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6C62E1" w:rsidRDefault="006C62E1" w:rsidP="006C62E1">
      <w:pPr>
        <w:shd w:val="clear" w:color="auto" w:fill="FFFFFF"/>
        <w:spacing w:after="240" w:line="240" w:lineRule="auto"/>
        <w:jc w:val="both"/>
        <w:rPr>
          <w:rFonts w:ascii="Times New Roman" w:hAnsi="Times New Roman"/>
          <w:sz w:val="24"/>
          <w:szCs w:val="24"/>
        </w:rPr>
      </w:pPr>
    </w:p>
    <w:p w:rsidR="006C62E1" w:rsidRDefault="006C62E1" w:rsidP="006C62E1">
      <w:pPr>
        <w:keepLines/>
        <w:shd w:val="clear" w:color="auto" w:fill="FFFFFF"/>
        <w:spacing w:after="0" w:line="240" w:lineRule="auto"/>
        <w:ind w:left="360"/>
        <w:jc w:val="both"/>
        <w:rPr>
          <w:rFonts w:ascii="Times New Roman" w:hAnsi="Times New Roman"/>
          <w:sz w:val="24"/>
          <w:szCs w:val="24"/>
        </w:rPr>
      </w:pPr>
    </w:p>
    <w:p w:rsidR="00A94EFD" w:rsidRDefault="00A94EFD">
      <w:bookmarkStart w:id="0" w:name="_GoBack"/>
      <w:bookmarkEnd w:id="0"/>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978"/>
    <w:multiLevelType w:val="multilevel"/>
    <w:tmpl w:val="67164D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DDC34BC"/>
    <w:multiLevelType w:val="multilevel"/>
    <w:tmpl w:val="B9FA54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44A5119"/>
    <w:multiLevelType w:val="multilevel"/>
    <w:tmpl w:val="A78EA7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794DBF"/>
    <w:multiLevelType w:val="multilevel"/>
    <w:tmpl w:val="C8448E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720A76"/>
    <w:multiLevelType w:val="multilevel"/>
    <w:tmpl w:val="3132BCF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FF5383D"/>
    <w:multiLevelType w:val="multilevel"/>
    <w:tmpl w:val="1FF8EB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0A678D"/>
    <w:multiLevelType w:val="multilevel"/>
    <w:tmpl w:val="F1248B9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EFC0CEA"/>
    <w:multiLevelType w:val="multilevel"/>
    <w:tmpl w:val="738A005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5FA3764"/>
    <w:multiLevelType w:val="multilevel"/>
    <w:tmpl w:val="315C21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993519C"/>
    <w:multiLevelType w:val="multilevel"/>
    <w:tmpl w:val="64C2F6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
  </w:num>
  <w:num w:numId="3">
    <w:abstractNumId w:val="0"/>
  </w:num>
  <w:num w:numId="4">
    <w:abstractNumId w:val="7"/>
  </w:num>
  <w:num w:numId="5">
    <w:abstractNumId w:val="5"/>
  </w:num>
  <w:num w:numId="6">
    <w:abstractNumId w:val="6"/>
  </w:num>
  <w:num w:numId="7">
    <w:abstractNumId w:val="8"/>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E1"/>
    <w:rsid w:val="006C62E1"/>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87B6A-F413-45CF-ACC8-93BFF2B0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2E1"/>
    <w:rPr>
      <w:rFonts w:ascii="Aptos" w:eastAsia="Times New Roman" w:hAnsi="Aptos" w:cs="Times New Roman"/>
      <w:lang w:eastAsia="uk-UA"/>
    </w:rPr>
  </w:style>
  <w:style w:type="paragraph" w:styleId="1">
    <w:name w:val="heading 1"/>
    <w:basedOn w:val="a"/>
    <w:next w:val="a"/>
    <w:link w:val="10"/>
    <w:uiPriority w:val="9"/>
    <w:qFormat/>
    <w:rsid w:val="006C62E1"/>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2E1"/>
    <w:rPr>
      <w:rFonts w:ascii="Aptos" w:eastAsia="Times New Roman" w:hAnsi="Aptos" w:cs="Times New Roman"/>
      <w:color w:val="2F5496" w:themeColor="accent1" w:themeShade="BF"/>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5926</Words>
  <Characters>3378</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2024-05-21T09:07:00Z</dcterms:created>
  <dcterms:modified xsi:type="dcterms:W3CDTF">2024-05-21T09:07:00Z</dcterms:modified>
</cp:coreProperties>
</file>